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E6CA" w14:textId="3EF21648" w:rsidR="00B777AF" w:rsidRPr="009D6060" w:rsidRDefault="00230FE4" w:rsidP="00D574CA">
      <w:pPr>
        <w:pStyle w:val="PolicyMainHead"/>
        <w:tabs>
          <w:tab w:val="left" w:pos="360"/>
        </w:tabs>
        <w:spacing w:after="0" w:line="240" w:lineRule="auto"/>
        <w:rPr>
          <w:rFonts w:ascii="Times New Roman" w:hAnsi="Times New Roman"/>
          <w:color w:val="00548C"/>
          <w:sz w:val="36"/>
        </w:rPr>
        <w:sectPr w:rsidR="00B777AF" w:rsidRPr="009D6060" w:rsidSect="00CB63DD">
          <w:headerReference w:type="default" r:id="rId10"/>
          <w:footerReference w:type="default" r:id="rId11"/>
          <w:headerReference w:type="first" r:id="rId12"/>
          <w:footerReference w:type="first" r:id="rId13"/>
          <w:pgSz w:w="12240" w:h="15840" w:code="1"/>
          <w:pgMar w:top="1440" w:right="907" w:bottom="1152" w:left="1440" w:header="576" w:footer="288" w:gutter="0"/>
          <w:cols w:space="720"/>
          <w:titlePg/>
          <w:docGrid w:linePitch="360"/>
        </w:sectPr>
      </w:pPr>
      <w:r>
        <w:rPr>
          <w:rFonts w:ascii="Times New Roman" w:hAnsi="Times New Roman"/>
          <w:color w:val="00548C"/>
          <w:sz w:val="36"/>
        </w:rPr>
        <w:t>Clinic</w:t>
      </w:r>
      <w:r w:rsidRPr="005D7B81">
        <w:rPr>
          <w:rFonts w:ascii="Times New Roman" w:hAnsi="Times New Roman"/>
          <w:color w:val="00548C"/>
          <w:sz w:val="36"/>
        </w:rPr>
        <w:t xml:space="preserve">al </w:t>
      </w:r>
      <w:r w:rsidR="00772335">
        <w:rPr>
          <w:rFonts w:ascii="Times New Roman" w:hAnsi="Times New Roman"/>
          <w:color w:val="00548C"/>
          <w:sz w:val="36"/>
        </w:rPr>
        <w:t xml:space="preserve">Policy: </w:t>
      </w:r>
      <w:r w:rsidR="006C5EA8" w:rsidRPr="006C5EA8">
        <w:rPr>
          <w:rFonts w:ascii="Times New Roman" w:hAnsi="Times New Roman"/>
          <w:color w:val="00548C"/>
          <w:sz w:val="36"/>
        </w:rPr>
        <w:t>Stereotactic Radiation Therapy: Stereotactic Radiosurgery (SRS) and Stereotactic Body Radiation Therapy (SBRT)</w:t>
      </w:r>
      <w:r w:rsidR="006C5EA8">
        <w:rPr>
          <w:rFonts w:ascii="Times New Roman" w:hAnsi="Times New Roman"/>
          <w:color w:val="00548C"/>
          <w:sz w:val="36"/>
        </w:rPr>
        <w:t xml:space="preserve"> </w:t>
      </w:r>
    </w:p>
    <w:p w14:paraId="5D71A654" w14:textId="14F00A5B" w:rsidR="00480C09" w:rsidRPr="003D7BE7" w:rsidRDefault="00D574CA" w:rsidP="00CB63DD">
      <w:pPr>
        <w:pStyle w:val="PolicyMainHead"/>
        <w:spacing w:after="0" w:line="240" w:lineRule="auto"/>
        <w:rPr>
          <w:rFonts w:ascii="Times New Roman" w:hAnsi="Times New Roman"/>
          <w:color w:val="00548C"/>
          <w:sz w:val="24"/>
          <w:szCs w:val="24"/>
        </w:rPr>
        <w:sectPr w:rsidR="00480C09" w:rsidRPr="003D7BE7" w:rsidSect="00CB63DD">
          <w:type w:val="continuous"/>
          <w:pgSz w:w="12240" w:h="15840" w:code="1"/>
          <w:pgMar w:top="1440" w:right="1170" w:bottom="1152" w:left="1440" w:header="576" w:footer="288" w:gutter="0"/>
          <w:cols w:num="2" w:space="720"/>
          <w:titlePg/>
          <w:docGrid w:linePitch="360"/>
        </w:sectPr>
      </w:pPr>
      <w:r w:rsidRPr="003D7BE7">
        <w:rPr>
          <w:rFonts w:ascii="Times New Roman" w:hAnsi="Times New Roman"/>
          <w:color w:val="00548C"/>
          <w:sz w:val="24"/>
          <w:szCs w:val="24"/>
        </w:rPr>
        <w:t xml:space="preserve">Reference Number: </w:t>
      </w:r>
      <w:r w:rsidR="004B20E7">
        <w:rPr>
          <w:rFonts w:ascii="Times New Roman" w:hAnsi="Times New Roman"/>
          <w:color w:val="00548C"/>
          <w:sz w:val="24"/>
          <w:szCs w:val="24"/>
        </w:rPr>
        <w:t>MC.</w:t>
      </w:r>
      <w:r w:rsidRPr="003D7BE7">
        <w:rPr>
          <w:rFonts w:ascii="Times New Roman" w:hAnsi="Times New Roman"/>
          <w:color w:val="00548C"/>
          <w:sz w:val="24"/>
          <w:szCs w:val="24"/>
        </w:rPr>
        <w:t>CP.</w:t>
      </w:r>
      <w:r w:rsidR="00C96847">
        <w:rPr>
          <w:rFonts w:ascii="Times New Roman" w:hAnsi="Times New Roman"/>
          <w:color w:val="00548C"/>
          <w:sz w:val="24"/>
          <w:szCs w:val="24"/>
        </w:rPr>
        <w:t>MP.</w:t>
      </w:r>
      <w:r w:rsidR="004B20E7">
        <w:rPr>
          <w:rFonts w:ascii="Times New Roman" w:hAnsi="Times New Roman"/>
          <w:color w:val="00548C"/>
          <w:sz w:val="24"/>
          <w:szCs w:val="24"/>
        </w:rPr>
        <w:t>22</w:t>
      </w:r>
      <w:r w:rsidR="00CB63DD">
        <w:rPr>
          <w:rFonts w:ascii="Times New Roman" w:hAnsi="Times New Roman"/>
          <w:color w:val="00548C"/>
          <w:sz w:val="24"/>
          <w:szCs w:val="24"/>
        </w:rPr>
        <w:tab/>
      </w:r>
      <w:r w:rsidR="00CB63DD">
        <w:rPr>
          <w:rFonts w:ascii="Times New Roman" w:hAnsi="Times New Roman"/>
          <w:color w:val="00548C"/>
          <w:sz w:val="24"/>
          <w:szCs w:val="24"/>
        </w:rPr>
        <w:tab/>
        <w:t xml:space="preserve">  </w:t>
      </w:r>
      <w:r w:rsidR="00CB63DD">
        <w:rPr>
          <w:rFonts w:ascii="Times New Roman" w:hAnsi="Times New Roman"/>
          <w:color w:val="00548C"/>
          <w:sz w:val="24"/>
          <w:szCs w:val="24"/>
        </w:rPr>
        <w:tab/>
      </w:r>
      <w:r w:rsidR="00480C09" w:rsidRPr="003D7BE7">
        <w:rPr>
          <w:rFonts w:ascii="Times New Roman" w:hAnsi="Times New Roman"/>
          <w:color w:val="00548C"/>
          <w:sz w:val="24"/>
          <w:szCs w:val="24"/>
        </w:rPr>
        <w:tab/>
      </w:r>
      <w:r w:rsidR="00CB63DD">
        <w:rPr>
          <w:rFonts w:ascii="Times New Roman" w:hAnsi="Times New Roman"/>
          <w:color w:val="00548C"/>
          <w:sz w:val="24"/>
          <w:szCs w:val="24"/>
        </w:rPr>
        <w:tab/>
        <w:t xml:space="preserve">     </w:t>
      </w:r>
      <w:hyperlink w:anchor="Coding_Implications" w:history="1">
        <w:r w:rsidR="00772335">
          <w:rPr>
            <w:rStyle w:val="Hyperlink"/>
            <w:rFonts w:ascii="Times New Roman" w:hAnsi="Times New Roman"/>
            <w:sz w:val="24"/>
            <w:szCs w:val="24"/>
          </w:rPr>
          <w:t xml:space="preserve">Coding </w:t>
        </w:r>
        <w:r w:rsidR="007B50D0" w:rsidRPr="00875924">
          <w:rPr>
            <w:rStyle w:val="Hyperlink"/>
            <w:rFonts w:ascii="Times New Roman" w:hAnsi="Times New Roman"/>
            <w:sz w:val="24"/>
            <w:szCs w:val="24"/>
          </w:rPr>
          <w:t>Implications</w:t>
        </w:r>
      </w:hyperlink>
      <w:r w:rsidR="007B50D0" w:rsidRPr="003D7BE7">
        <w:rPr>
          <w:rFonts w:ascii="Times New Roman" w:hAnsi="Times New Roman"/>
          <w:color w:val="00548C"/>
          <w:sz w:val="24"/>
          <w:szCs w:val="24"/>
        </w:rPr>
        <w:t xml:space="preserve"> </w:t>
      </w:r>
    </w:p>
    <w:p w14:paraId="6C06C146" w14:textId="45C98BF4" w:rsidR="00875924" w:rsidRDefault="008D6CA9" w:rsidP="00CB63DD">
      <w:pPr>
        <w:pStyle w:val="PolicyMainHead"/>
        <w:spacing w:after="0" w:line="240" w:lineRule="auto"/>
        <w:rPr>
          <w:rFonts w:ascii="Times New Roman" w:hAnsi="Times New Roman"/>
          <w:color w:val="00548C"/>
          <w:sz w:val="24"/>
          <w:szCs w:val="24"/>
        </w:rPr>
      </w:pPr>
      <w:r>
        <w:rPr>
          <w:rFonts w:ascii="Times New Roman" w:hAnsi="Times New Roman"/>
          <w:color w:val="00548C"/>
          <w:sz w:val="24"/>
          <w:szCs w:val="24"/>
        </w:rPr>
        <w:t>Date of Last Revision</w:t>
      </w:r>
      <w:r w:rsidR="00D574CA" w:rsidRPr="003D7BE7">
        <w:rPr>
          <w:rFonts w:ascii="Times New Roman" w:hAnsi="Times New Roman"/>
          <w:color w:val="00548C"/>
          <w:sz w:val="24"/>
          <w:szCs w:val="24"/>
        </w:rPr>
        <w:t xml:space="preserve">: </w:t>
      </w:r>
      <w:r w:rsidR="00172E90">
        <w:rPr>
          <w:rFonts w:ascii="Times New Roman" w:hAnsi="Times New Roman"/>
          <w:color w:val="00548C"/>
          <w:sz w:val="24"/>
          <w:szCs w:val="24"/>
        </w:rPr>
        <w:t>10/24</w:t>
      </w:r>
    </w:p>
    <w:p w14:paraId="5A3195AF" w14:textId="77777777" w:rsidR="00875924" w:rsidRDefault="00045AD8" w:rsidP="00875924">
      <w:pPr>
        <w:pStyle w:val="PolicyMainHead"/>
        <w:tabs>
          <w:tab w:val="left" w:pos="360"/>
        </w:tabs>
        <w:spacing w:after="0" w:line="240" w:lineRule="auto"/>
        <w:jc w:val="right"/>
        <w:rPr>
          <w:rStyle w:val="Strong"/>
          <w:rFonts w:ascii="Times New Roman" w:hAnsi="Times New Roman"/>
          <w:b w:val="0"/>
          <w:bCs w:val="0"/>
          <w:u w:val="single"/>
        </w:rPr>
        <w:sectPr w:rsidR="00875924" w:rsidSect="00CB63DD">
          <w:type w:val="continuous"/>
          <w:pgSz w:w="12240" w:h="15840" w:code="1"/>
          <w:pgMar w:top="1440" w:right="1170" w:bottom="1440" w:left="1440" w:header="576" w:footer="288" w:gutter="0"/>
          <w:cols w:num="2" w:space="720"/>
          <w:titlePg/>
          <w:docGrid w:linePitch="360"/>
        </w:sectPr>
      </w:pPr>
      <w:hyperlink w:anchor="Revision_Log" w:history="1">
        <w:r w:rsidR="007B50D0" w:rsidRPr="003D7BE7">
          <w:rPr>
            <w:rStyle w:val="Hyperlink"/>
            <w:rFonts w:ascii="Times New Roman" w:hAnsi="Times New Roman"/>
            <w:sz w:val="24"/>
            <w:szCs w:val="24"/>
          </w:rPr>
          <w:t>Revision Log</w:t>
        </w:r>
      </w:hyperlink>
      <w:r w:rsidR="00875924">
        <w:rPr>
          <w:rFonts w:ascii="Times New Roman" w:hAnsi="Times New Roman"/>
          <w:color w:val="00548C"/>
          <w:sz w:val="24"/>
          <w:szCs w:val="24"/>
        </w:rPr>
        <w:t xml:space="preserve"> </w:t>
      </w:r>
    </w:p>
    <w:p w14:paraId="3B485322" w14:textId="77777777" w:rsidR="005D7B81" w:rsidRDefault="00032D3F" w:rsidP="00032D3F">
      <w:pPr>
        <w:pStyle w:val="NormalWeb"/>
        <w:tabs>
          <w:tab w:val="left" w:pos="975"/>
        </w:tabs>
        <w:spacing w:before="0" w:beforeAutospacing="0" w:after="0" w:afterAutospacing="0"/>
        <w:rPr>
          <w:rFonts w:ascii="Times New Roman" w:hAnsi="Times New Roman" w:cs="Times New Roman"/>
        </w:rPr>
      </w:pPr>
      <w:r>
        <w:rPr>
          <w:rFonts w:ascii="Times New Roman" w:hAnsi="Times New Roman" w:cs="Times New Roman"/>
        </w:rPr>
        <w:tab/>
      </w:r>
    </w:p>
    <w:p w14:paraId="60AA2328" w14:textId="77777777" w:rsidR="00D574CA" w:rsidRPr="005D7B81" w:rsidRDefault="005D7B81" w:rsidP="00D574CA">
      <w:pPr>
        <w:pStyle w:val="NormalWeb"/>
        <w:spacing w:before="0" w:beforeAutospacing="0" w:after="0" w:afterAutospacing="0"/>
        <w:rPr>
          <w:rStyle w:val="Strong"/>
          <w:rFonts w:ascii="Times New Roman" w:hAnsi="Times New Roman" w:cs="Times New Roman"/>
          <w:b w:val="0"/>
          <w:bCs w:val="0"/>
          <w:color w:val="00548C"/>
          <w:u w:val="single"/>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eastAsia="Times New Roman" w:hAnsi="Times New Roman" w:cs="Times New Roman"/>
            <w:noProof/>
          </w:rPr>
          <w:t>Important Reminder</w:t>
        </w:r>
      </w:hyperlink>
      <w:r w:rsidRPr="005D7B81">
        <w:rPr>
          <w:rFonts w:ascii="Times New Roman" w:hAnsi="Times New Roman" w:cs="Times New Roman"/>
          <w:b/>
          <w:color w:val="00548C"/>
        </w:rPr>
        <w:t xml:space="preserve"> at the end of th</w:t>
      </w:r>
      <w:r w:rsidR="00493710">
        <w:rPr>
          <w:rFonts w:ascii="Times New Roman" w:hAnsi="Times New Roman" w:cs="Times New Roman"/>
          <w:b/>
          <w:color w:val="00548C"/>
        </w:rPr>
        <w:t>is</w:t>
      </w:r>
      <w:r w:rsidRPr="005D7B81">
        <w:rPr>
          <w:rFonts w:ascii="Times New Roman" w:hAnsi="Times New Roman" w:cs="Times New Roman"/>
          <w:b/>
          <w:color w:val="00548C"/>
        </w:rPr>
        <w:t xml:space="preserve"> policy for</w:t>
      </w:r>
      <w:r w:rsidR="00493710">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sidR="00493710">
        <w:rPr>
          <w:rFonts w:ascii="Times New Roman" w:hAnsi="Times New Roman" w:cs="Times New Roman"/>
          <w:b/>
          <w:color w:val="00548C"/>
        </w:rPr>
        <w:t>.</w:t>
      </w:r>
    </w:p>
    <w:p w14:paraId="7A138D45" w14:textId="77777777" w:rsidR="00C73CF5" w:rsidRDefault="00B8063A" w:rsidP="00B8063A">
      <w:pPr>
        <w:pStyle w:val="NormalWeb"/>
        <w:tabs>
          <w:tab w:val="left" w:pos="1425"/>
        </w:tabs>
        <w:spacing w:before="0" w:beforeAutospacing="0" w:after="0" w:afterAutospacing="0"/>
        <w:rPr>
          <w:rStyle w:val="Strong"/>
          <w:rFonts w:ascii="Times New Roman" w:hAnsi="Times New Roman" w:cs="Times New Roman"/>
          <w:b w:val="0"/>
          <w:bCs w:val="0"/>
          <w:u w:val="single"/>
        </w:rPr>
      </w:pPr>
      <w:r>
        <w:rPr>
          <w:rStyle w:val="Strong"/>
          <w:rFonts w:ascii="Times New Roman" w:hAnsi="Times New Roman" w:cs="Times New Roman"/>
          <w:b w:val="0"/>
          <w:bCs w:val="0"/>
          <w:u w:val="single"/>
        </w:rPr>
        <w:tab/>
      </w:r>
    </w:p>
    <w:p w14:paraId="5B1F84CE" w14:textId="77777777" w:rsidR="00583376" w:rsidRPr="00B777AF" w:rsidRDefault="00583376">
      <w:pPr>
        <w:pStyle w:val="Heading2"/>
        <w:rPr>
          <w:u w:val="none"/>
        </w:rPr>
      </w:pPr>
      <w:r w:rsidRPr="00B777AF">
        <w:rPr>
          <w:u w:val="none"/>
        </w:rPr>
        <w:t xml:space="preserve">Description </w:t>
      </w:r>
    </w:p>
    <w:p w14:paraId="438B3A85" w14:textId="2F6A4411" w:rsidR="005D7B81" w:rsidRDefault="002E01EE" w:rsidP="00196935">
      <w:pPr>
        <w:rPr>
          <w:rStyle w:val="ui-provider"/>
        </w:rPr>
      </w:pPr>
      <w:r w:rsidRPr="002E01EE">
        <w:t>This policy outlines the medical necessity criteria for</w:t>
      </w:r>
      <w:r>
        <w:t xml:space="preserve"> </w:t>
      </w:r>
      <w:r w:rsidRPr="002E01EE">
        <w:t>Stereotactic Radiation Therapy: Stereotactic Radiosurgery (SRS) and Stereotactic Body Radiation Therapy (SBRT). The policy criteria is sourced from the following Local Coverage Determination (LCD), Stereotactic Radiation Therapy: Stereotactic Radiosurgery (SRS) and Stereotactic Body Radiation Therapy (SBRT)</w:t>
      </w:r>
      <w:r>
        <w:t xml:space="preserve"> (L35076)</w:t>
      </w:r>
      <w:r w:rsidR="005C5583">
        <w:t xml:space="preserve"> and is supported by </w:t>
      </w:r>
      <w:r w:rsidR="007C628A">
        <w:t>American Society for Radiation Oncology (ASTRO) and National C</w:t>
      </w:r>
      <w:r w:rsidR="009437C2">
        <w:t>omprehensive Cancer Network (NCCN).</w:t>
      </w:r>
    </w:p>
    <w:p w14:paraId="0BFEF81B" w14:textId="77777777" w:rsidR="00E50276" w:rsidRDefault="00E50276" w:rsidP="00196935">
      <w:pPr>
        <w:rPr>
          <w:rStyle w:val="ui-provider"/>
        </w:rPr>
      </w:pPr>
    </w:p>
    <w:p w14:paraId="3BFDDFFC" w14:textId="6EB0AF4E" w:rsidR="002843C9" w:rsidRPr="00B6459E" w:rsidRDefault="002843C9" w:rsidP="002843C9">
      <w:pPr>
        <w:autoSpaceDE w:val="0"/>
        <w:autoSpaceDN w:val="0"/>
        <w:adjustRightInd w:val="0"/>
        <w:rPr>
          <w:vertAlign w:val="superscript"/>
        </w:rPr>
      </w:pPr>
      <w:r>
        <w:t xml:space="preserve">Benefits of </w:t>
      </w:r>
      <w:r w:rsidR="00855183">
        <w:t>Stereotactic Radiation Therapy (SRS) and Stereotactic Body Radiation Therapy (SBRT)</w:t>
      </w:r>
      <w:r>
        <w:t xml:space="preserve"> include </w:t>
      </w:r>
      <w:r w:rsidR="00C25471">
        <w:t>the ability to target tumors</w:t>
      </w:r>
      <w:r w:rsidR="00D15803">
        <w:t xml:space="preserve"> while</w:t>
      </w:r>
      <w:r>
        <w:t xml:space="preserve"> </w:t>
      </w:r>
      <w:r w:rsidR="00D15803">
        <w:t>limiting the radiation exposure to nearby organs and tissues</w:t>
      </w:r>
      <w:r>
        <w:t>.</w:t>
      </w:r>
      <w:r w:rsidR="00651297">
        <w:t xml:space="preserve"> It also allows healthcare providers to remove tumors with near-surgical precision</w:t>
      </w:r>
      <w:r w:rsidR="008F10E6">
        <w:t xml:space="preserve"> but without surgery.</w:t>
      </w:r>
      <w:r>
        <w:t xml:space="preserve"> Risks of using </w:t>
      </w:r>
      <w:r w:rsidR="008F10E6">
        <w:t>SRS and SBRT</w:t>
      </w:r>
      <w:r>
        <w:t xml:space="preserve"> include </w:t>
      </w:r>
      <w:r w:rsidR="008F10E6">
        <w:t>rare instances</w:t>
      </w:r>
      <w:r w:rsidR="00DA1066">
        <w:t xml:space="preserve"> of long-term effects if the radiation damages healthy tissue</w:t>
      </w:r>
      <w:r w:rsidR="00152462">
        <w:t xml:space="preserve"> including cancer development though the chance of this is extremely rare</w:t>
      </w:r>
      <w:r>
        <w:t>.</w:t>
      </w:r>
      <w:r w:rsidR="00D466FD">
        <w:rPr>
          <w:vertAlign w:val="superscript"/>
        </w:rPr>
        <w:t>6</w:t>
      </w:r>
      <w:r w:rsidR="005E13E1">
        <w:t xml:space="preserve"> </w:t>
      </w:r>
      <w:r w:rsidR="00D466FD">
        <w:t>Since the following criteria is supported by ASTRO and NCCN, organizations that advocate for safe and clinically appropriate radiology and cancer treatment, respectively</w:t>
      </w:r>
      <w:r w:rsidR="00B15B7C">
        <w:t xml:space="preserve">, </w:t>
      </w:r>
      <w:r w:rsidR="005E13E1">
        <w:t>the benefits</w:t>
      </w:r>
      <w:r w:rsidR="00B15B7C">
        <w:t xml:space="preserve"> of the following criteria for SRS and SBRT</w:t>
      </w:r>
      <w:r w:rsidR="005E13E1">
        <w:t xml:space="preserve"> outweigh the risks</w:t>
      </w:r>
      <w:r w:rsidR="00B15B7C">
        <w:t>.</w:t>
      </w:r>
    </w:p>
    <w:p w14:paraId="0D17D6C5" w14:textId="7849C9DF" w:rsidR="00257963" w:rsidRDefault="00257963" w:rsidP="00196935"/>
    <w:p w14:paraId="41D273D0" w14:textId="2918BDAC" w:rsidR="00257963" w:rsidRPr="000252BB" w:rsidRDefault="00257963" w:rsidP="00196935">
      <w:pPr>
        <w:rPr>
          <w:i/>
          <w:iCs/>
        </w:rPr>
      </w:pPr>
      <w:r w:rsidRPr="000252BB">
        <w:rPr>
          <w:i/>
          <w:iCs/>
        </w:rPr>
        <w:t xml:space="preserve">Note: For criteria applicable to </w:t>
      </w:r>
      <w:r w:rsidR="000252BB" w:rsidRPr="000252BB">
        <w:rPr>
          <w:i/>
          <w:iCs/>
        </w:rPr>
        <w:t>non-</w:t>
      </w:r>
      <w:r w:rsidRPr="000252BB">
        <w:rPr>
          <w:i/>
          <w:iCs/>
        </w:rPr>
        <w:t>Medicare plans, please see CP.MP.22 Stereotactic Radiation Therapy: Stereotactic Radiosurgery (SRS) and Stereotactic Body Radiation Therapy (SBRT).</w:t>
      </w:r>
    </w:p>
    <w:p w14:paraId="4A2B402D" w14:textId="77777777" w:rsidR="00257963" w:rsidRPr="00B777AF" w:rsidRDefault="00257963" w:rsidP="00196935"/>
    <w:p w14:paraId="4F50D9B5" w14:textId="77777777" w:rsidR="00583376" w:rsidRPr="00B777AF" w:rsidRDefault="00583376">
      <w:pPr>
        <w:pStyle w:val="Heading2"/>
        <w:rPr>
          <w:u w:val="none"/>
        </w:rPr>
      </w:pPr>
      <w:r w:rsidRPr="00B777AF">
        <w:rPr>
          <w:u w:val="none"/>
        </w:rPr>
        <w:t>Policy/Criteria</w:t>
      </w:r>
    </w:p>
    <w:p w14:paraId="6BBCC2FA" w14:textId="7D9C2E14" w:rsidR="00C96847" w:rsidRPr="0079446B" w:rsidRDefault="00F74762" w:rsidP="00C96847">
      <w:pPr>
        <w:numPr>
          <w:ilvl w:val="0"/>
          <w:numId w:val="11"/>
        </w:numPr>
        <w:ind w:left="360"/>
      </w:pPr>
      <w:r>
        <w:rPr>
          <w:bCs/>
          <w:color w:val="000000"/>
        </w:rPr>
        <w:t>It is the policy of</w:t>
      </w:r>
      <w:r w:rsidR="00E97C17">
        <w:rPr>
          <w:bCs/>
          <w:color w:val="000000"/>
        </w:rPr>
        <w:t xml:space="preserve"> </w:t>
      </w:r>
      <w:r w:rsidR="006543F0">
        <w:rPr>
          <w:bCs/>
          <w:color w:val="000000"/>
        </w:rPr>
        <w:t xml:space="preserve">Medicare </w:t>
      </w:r>
      <w:r w:rsidR="00A83658">
        <w:rPr>
          <w:bCs/>
          <w:color w:val="000000"/>
        </w:rPr>
        <w:t>h</w:t>
      </w:r>
      <w:r w:rsidR="00E97C17">
        <w:rPr>
          <w:bCs/>
          <w:color w:val="000000"/>
        </w:rPr>
        <w:t xml:space="preserve">ealth </w:t>
      </w:r>
      <w:r w:rsidR="00A83658">
        <w:rPr>
          <w:bCs/>
          <w:color w:val="000000"/>
        </w:rPr>
        <w:t>p</w:t>
      </w:r>
      <w:r w:rsidR="00E97C17">
        <w:rPr>
          <w:bCs/>
          <w:color w:val="000000"/>
        </w:rPr>
        <w:t>lans affiliated with</w:t>
      </w:r>
      <w:r>
        <w:rPr>
          <w:bCs/>
          <w:color w:val="000000"/>
        </w:rPr>
        <w:t xml:space="preserve"> Centene Corporation</w:t>
      </w:r>
      <w:r w:rsidR="00C75BD4" w:rsidRPr="00C75BD4">
        <w:rPr>
          <w:bCs/>
          <w:color w:val="000000"/>
          <w:vertAlign w:val="superscript"/>
        </w:rPr>
        <w:t>®</w:t>
      </w:r>
      <w:r>
        <w:rPr>
          <w:bCs/>
          <w:color w:val="000000"/>
        </w:rPr>
        <w:t xml:space="preserve"> </w:t>
      </w:r>
      <w:r w:rsidR="00C96847">
        <w:t xml:space="preserve">that </w:t>
      </w:r>
      <w:r w:rsidR="00A735C8" w:rsidRPr="00FA140A">
        <w:rPr>
          <w:i/>
          <w:iCs/>
        </w:rPr>
        <w:t>stereotactic radiation therapy</w:t>
      </w:r>
      <w:r w:rsidR="00A735C8">
        <w:t xml:space="preserve"> (</w:t>
      </w:r>
      <w:r w:rsidR="000D5010" w:rsidRPr="00FA140A">
        <w:rPr>
          <w:i/>
          <w:iCs/>
        </w:rPr>
        <w:t>SRS</w:t>
      </w:r>
      <w:r w:rsidR="00A735C8">
        <w:rPr>
          <w:i/>
          <w:iCs/>
        </w:rPr>
        <w:t>)</w:t>
      </w:r>
      <w:r w:rsidR="000D5010">
        <w:t xml:space="preserve"> </w:t>
      </w:r>
      <w:r w:rsidR="000D5010" w:rsidRPr="00FA140A">
        <w:rPr>
          <w:i/>
          <w:iCs/>
        </w:rPr>
        <w:t xml:space="preserve">for cranial and spinal lesions </w:t>
      </w:r>
      <w:r w:rsidR="00C96847">
        <w:t xml:space="preserve">is </w:t>
      </w:r>
      <w:r w:rsidR="00C96847" w:rsidRPr="005D6347">
        <w:rPr>
          <w:b/>
        </w:rPr>
        <w:t>medically necessary</w:t>
      </w:r>
      <w:r w:rsidR="00C96847">
        <w:t xml:space="preserve"> </w:t>
      </w:r>
      <w:r w:rsidR="009D5928">
        <w:t xml:space="preserve">for </w:t>
      </w:r>
      <w:r w:rsidR="000D5010" w:rsidRPr="0079446B">
        <w:t xml:space="preserve">any of </w:t>
      </w:r>
      <w:r w:rsidR="009D5928" w:rsidRPr="0079446B">
        <w:t>the following</w:t>
      </w:r>
      <w:r w:rsidR="00C96847" w:rsidRPr="0079446B">
        <w:t>:</w:t>
      </w:r>
    </w:p>
    <w:p w14:paraId="3923CE60" w14:textId="3AAB43F7" w:rsidR="000D5010" w:rsidRPr="0079446B" w:rsidRDefault="000D5010" w:rsidP="000D5010">
      <w:pPr>
        <w:numPr>
          <w:ilvl w:val="1"/>
          <w:numId w:val="11"/>
        </w:numPr>
        <w:ind w:left="720"/>
      </w:pPr>
      <w:r w:rsidRPr="0079446B">
        <w:t xml:space="preserve">Primary central nervous system malignancies, generally used as a boost or salvage therapy for lesions &lt; 5 cm; </w:t>
      </w:r>
    </w:p>
    <w:p w14:paraId="2DB11902" w14:textId="20815071" w:rsidR="000D5010" w:rsidRPr="0079446B" w:rsidRDefault="000D5010" w:rsidP="000D5010">
      <w:pPr>
        <w:numPr>
          <w:ilvl w:val="1"/>
          <w:numId w:val="11"/>
        </w:numPr>
        <w:ind w:left="720"/>
      </w:pPr>
      <w:r w:rsidRPr="0079446B">
        <w:t>Primary and secondary tumors involving the brain or spine parenchyma, meninges/dura, or immediately adjacent bony structures</w:t>
      </w:r>
      <w:r w:rsidR="00542E9C" w:rsidRPr="0079446B">
        <w:t xml:space="preserve">; </w:t>
      </w:r>
    </w:p>
    <w:p w14:paraId="7E193D49" w14:textId="6155739C" w:rsidR="000D5010" w:rsidRPr="000D5010" w:rsidRDefault="000D5010" w:rsidP="000D5010">
      <w:pPr>
        <w:numPr>
          <w:ilvl w:val="1"/>
          <w:numId w:val="11"/>
        </w:numPr>
        <w:ind w:left="720"/>
      </w:pPr>
      <w:r w:rsidRPr="000D5010">
        <w:t>Benign brain tumors and spinal tumors such as meningiomas, acoustic neuromas, other schwannomas, pituitary adenomas, pineocytomas, craniopharyngiomas, glomus tumors, hemangioblastomas</w:t>
      </w:r>
      <w:r w:rsidR="00542E9C">
        <w:t xml:space="preserve">; </w:t>
      </w:r>
    </w:p>
    <w:p w14:paraId="29511860" w14:textId="4FF4061C" w:rsidR="000D5010" w:rsidRPr="000D5010" w:rsidRDefault="000D5010" w:rsidP="000D5010">
      <w:pPr>
        <w:numPr>
          <w:ilvl w:val="1"/>
          <w:numId w:val="11"/>
        </w:numPr>
        <w:ind w:left="720"/>
      </w:pPr>
      <w:r w:rsidRPr="000D5010">
        <w:t xml:space="preserve">Cranial arteriovenous malformations, cavernous malformations, </w:t>
      </w:r>
      <w:r w:rsidR="00542E9C">
        <w:t>or</w:t>
      </w:r>
      <w:r w:rsidRPr="000D5010">
        <w:t xml:space="preserve"> hemangiomas</w:t>
      </w:r>
      <w:r w:rsidR="00542E9C">
        <w:t xml:space="preserve">; </w:t>
      </w:r>
    </w:p>
    <w:p w14:paraId="061FA84C" w14:textId="56F804EC" w:rsidR="00C44FDC" w:rsidRDefault="000D5010" w:rsidP="00542E9C">
      <w:pPr>
        <w:numPr>
          <w:ilvl w:val="1"/>
          <w:numId w:val="11"/>
        </w:numPr>
        <w:ind w:left="720"/>
      </w:pPr>
      <w:r w:rsidRPr="000D5010">
        <w:t>Other cranial non-neoplastic conditions such as trigeminal neuralgia and select cases of medically refractory epilepsy</w:t>
      </w:r>
      <w:r w:rsidR="00C44FDC">
        <w:t xml:space="preserve">; </w:t>
      </w:r>
    </w:p>
    <w:p w14:paraId="2720E249" w14:textId="34178A41" w:rsidR="000D5010" w:rsidRPr="000D5010" w:rsidRDefault="000D5010" w:rsidP="00542E9C">
      <w:pPr>
        <w:numPr>
          <w:ilvl w:val="1"/>
          <w:numId w:val="11"/>
        </w:numPr>
        <w:ind w:left="720"/>
      </w:pPr>
      <w:r w:rsidRPr="000D5010">
        <w:lastRenderedPageBreak/>
        <w:t>As a boost treatment for larger cranial or spinal lesions that have been treated initially with external beam radiation therapy or surgery (e.g. sarcomas, chondrosarcomas, chordomas, and nasopharyngeal or paranasal sinus malignancies)</w:t>
      </w:r>
      <w:r w:rsidR="00542E9C">
        <w:t xml:space="preserve">; </w:t>
      </w:r>
    </w:p>
    <w:p w14:paraId="1393D005" w14:textId="77777777" w:rsidR="00542E9C" w:rsidRDefault="000D5010" w:rsidP="000D5010">
      <w:pPr>
        <w:numPr>
          <w:ilvl w:val="1"/>
          <w:numId w:val="11"/>
        </w:numPr>
        <w:ind w:left="720"/>
      </w:pPr>
      <w:r w:rsidRPr="000D5010">
        <w:t>Metastatic brain or spine lesions</w:t>
      </w:r>
      <w:r w:rsidR="00542E9C">
        <w:t xml:space="preserve"> and one of the following: </w:t>
      </w:r>
    </w:p>
    <w:p w14:paraId="10E90242" w14:textId="019DC19E" w:rsidR="00542E9C" w:rsidRDefault="00542E9C" w:rsidP="00542E9C">
      <w:pPr>
        <w:numPr>
          <w:ilvl w:val="2"/>
          <w:numId w:val="11"/>
        </w:numPr>
        <w:ind w:left="1080" w:hanging="360"/>
      </w:pPr>
      <w:r>
        <w:t>S</w:t>
      </w:r>
      <w:r w:rsidR="000D5010" w:rsidRPr="000D5010">
        <w:t>table systemic disease, Karnofsky Performance Status 40 or greater (or expected to return to 70 or greater with treatment</w:t>
      </w:r>
      <w:r w:rsidR="0028681F">
        <w:t>, see Table 1</w:t>
      </w:r>
      <w:r w:rsidR="00F74FF4" w:rsidRPr="000D5010">
        <w:t>),</w:t>
      </w:r>
      <w:r w:rsidR="00F74FF4">
        <w:t>*</w:t>
      </w:r>
      <w:r w:rsidR="000D5010" w:rsidRPr="000D5010">
        <w:t xml:space="preserve"> and otherwise reasonable survival expectations</w:t>
      </w:r>
      <w:r>
        <w:t xml:space="preserve">; </w:t>
      </w:r>
      <w:r w:rsidR="000D5010" w:rsidRPr="000D5010">
        <w:t xml:space="preserve"> </w:t>
      </w:r>
    </w:p>
    <w:p w14:paraId="3395C1F8" w14:textId="553545B3" w:rsidR="000D5010" w:rsidRPr="000D5010" w:rsidRDefault="00542E9C" w:rsidP="00FA140A">
      <w:pPr>
        <w:numPr>
          <w:ilvl w:val="2"/>
          <w:numId w:val="11"/>
        </w:numPr>
        <w:ind w:left="1080" w:hanging="360"/>
      </w:pPr>
      <w:r>
        <w:t>A</w:t>
      </w:r>
      <w:r w:rsidR="000D5010" w:rsidRPr="000D5010">
        <w:t>n Eastern Cooperative Oncology Group (ECOG) Performance Status of 3 or less (or expected to return to 2 or less with treatment</w:t>
      </w:r>
      <w:r w:rsidR="0028681F">
        <w:t>, see Table 2</w:t>
      </w:r>
      <w:r w:rsidR="0028681F" w:rsidRPr="00813253">
        <w:t>)</w:t>
      </w:r>
      <w:r w:rsidR="0028681F">
        <w:t>;*</w:t>
      </w:r>
    </w:p>
    <w:p w14:paraId="133F0A75" w14:textId="3A25AF39" w:rsidR="000D5010" w:rsidRPr="000D5010" w:rsidRDefault="000D5010" w:rsidP="000D5010">
      <w:pPr>
        <w:numPr>
          <w:ilvl w:val="1"/>
          <w:numId w:val="11"/>
        </w:numPr>
        <w:ind w:left="720"/>
      </w:pPr>
      <w:r w:rsidRPr="000D5010">
        <w:t>Relapse in a previously irradiated cranial or spinal field where the additional stereotactic precision is required to avoid unacceptable vital tissue radiation</w:t>
      </w:r>
      <w:r w:rsidR="00C732A2">
        <w:t>;</w:t>
      </w:r>
    </w:p>
    <w:p w14:paraId="7480E94A" w14:textId="3A002795" w:rsidR="000D5010" w:rsidRDefault="000D5010" w:rsidP="000D5010">
      <w:pPr>
        <w:numPr>
          <w:ilvl w:val="1"/>
          <w:numId w:val="11"/>
        </w:numPr>
        <w:ind w:left="720"/>
      </w:pPr>
      <w:r w:rsidRPr="000D5010">
        <w:t>Choroidal and other ocular melanomas</w:t>
      </w:r>
      <w:r w:rsidR="00C732A2">
        <w:t>.</w:t>
      </w:r>
      <w:r w:rsidR="009C5A91">
        <w:rPr>
          <w:vertAlign w:val="superscript"/>
        </w:rPr>
        <w:t>1</w:t>
      </w:r>
    </w:p>
    <w:p w14:paraId="1D5DA768" w14:textId="38EAF702" w:rsidR="00542E9C" w:rsidRDefault="00542E9C" w:rsidP="00542E9C"/>
    <w:p w14:paraId="3412BF13" w14:textId="35314308" w:rsidR="00542E9C" w:rsidRDefault="00542E9C" w:rsidP="00FA140A">
      <w:pPr>
        <w:numPr>
          <w:ilvl w:val="0"/>
          <w:numId w:val="11"/>
        </w:numPr>
        <w:ind w:left="360" w:hanging="450"/>
      </w:pPr>
      <w:r>
        <w:rPr>
          <w:bCs/>
          <w:color w:val="000000"/>
        </w:rPr>
        <w:t xml:space="preserve">It is the policy of </w:t>
      </w:r>
      <w:r w:rsidR="006543F0">
        <w:rPr>
          <w:bCs/>
          <w:color w:val="000000"/>
        </w:rPr>
        <w:t xml:space="preserve">Medicare </w:t>
      </w:r>
      <w:r>
        <w:rPr>
          <w:bCs/>
          <w:color w:val="000000"/>
        </w:rPr>
        <w:t xml:space="preserve">health plans affiliated with Centene Corporation </w:t>
      </w:r>
      <w:r>
        <w:t xml:space="preserve">that </w:t>
      </w:r>
      <w:r w:rsidR="00715F71" w:rsidRPr="00D145B9">
        <w:rPr>
          <w:i/>
          <w:iCs/>
        </w:rPr>
        <w:t>stereotactic radiation therapy</w:t>
      </w:r>
      <w:r w:rsidR="00715F71">
        <w:t xml:space="preserve"> </w:t>
      </w:r>
      <w:r w:rsidR="003173D4">
        <w:t>(</w:t>
      </w:r>
      <w:r w:rsidRPr="00D145B9">
        <w:rPr>
          <w:i/>
          <w:iCs/>
        </w:rPr>
        <w:t>SRS</w:t>
      </w:r>
      <w:r w:rsidR="003173D4">
        <w:rPr>
          <w:i/>
          <w:iCs/>
        </w:rPr>
        <w:t>)</w:t>
      </w:r>
      <w:r>
        <w:t xml:space="preserve"> </w:t>
      </w:r>
      <w:r w:rsidRPr="00D145B9">
        <w:rPr>
          <w:i/>
          <w:iCs/>
        </w:rPr>
        <w:t xml:space="preserve">for cranial </w:t>
      </w:r>
      <w:r w:rsidR="00AB69AF">
        <w:rPr>
          <w:i/>
          <w:iCs/>
        </w:rPr>
        <w:t xml:space="preserve">or </w:t>
      </w:r>
      <w:r w:rsidRPr="00D145B9">
        <w:rPr>
          <w:i/>
          <w:iCs/>
        </w:rPr>
        <w:t xml:space="preserve">spinal lesions </w:t>
      </w:r>
      <w:r>
        <w:t xml:space="preserve">is </w:t>
      </w:r>
      <w:r w:rsidRPr="00FA140A">
        <w:rPr>
          <w:b/>
          <w:bCs/>
        </w:rPr>
        <w:t>not</w:t>
      </w:r>
      <w:r>
        <w:t xml:space="preserve"> </w:t>
      </w:r>
      <w:r w:rsidRPr="005D6347">
        <w:rPr>
          <w:b/>
        </w:rPr>
        <w:t>medically necessary</w:t>
      </w:r>
      <w:r>
        <w:t xml:space="preserve"> for any of the following:</w:t>
      </w:r>
    </w:p>
    <w:p w14:paraId="564C7B24" w14:textId="4DB9E433" w:rsidR="00542E9C" w:rsidRPr="00542E9C" w:rsidRDefault="00542E9C" w:rsidP="00542E9C">
      <w:pPr>
        <w:numPr>
          <w:ilvl w:val="1"/>
          <w:numId w:val="23"/>
        </w:numPr>
        <w:ind w:left="720"/>
      </w:pPr>
      <w:r>
        <w:t>Treatment</w:t>
      </w:r>
      <w:r w:rsidRPr="00542E9C">
        <w:rPr>
          <w:rFonts w:ascii="Arial" w:hAnsi="Arial" w:cs="Arial"/>
          <w:color w:val="323A45"/>
        </w:rPr>
        <w:t xml:space="preserve"> </w:t>
      </w:r>
      <w:r w:rsidRPr="00542E9C">
        <w:t>for anything other than a severe symptom or serious threat to life or critical functions</w:t>
      </w:r>
      <w:r>
        <w:t xml:space="preserve">; </w:t>
      </w:r>
    </w:p>
    <w:p w14:paraId="4F1CE620" w14:textId="5B7A31D2" w:rsidR="00542E9C" w:rsidRPr="00542E9C" w:rsidRDefault="00542E9C" w:rsidP="00542E9C">
      <w:pPr>
        <w:numPr>
          <w:ilvl w:val="1"/>
          <w:numId w:val="23"/>
        </w:numPr>
        <w:ind w:left="720"/>
      </w:pPr>
      <w:r w:rsidRPr="00542E9C">
        <w:t>Treatment unlikely to result in functional improvement or clinically meaningful disease stabilization, not otherwise achievable</w:t>
      </w:r>
      <w:r w:rsidR="004C2757">
        <w:t xml:space="preserve">; </w:t>
      </w:r>
    </w:p>
    <w:p w14:paraId="22B52F7F" w14:textId="569ABEA0" w:rsidR="00542E9C" w:rsidRPr="00542E9C" w:rsidRDefault="00542E9C" w:rsidP="00542E9C">
      <w:pPr>
        <w:numPr>
          <w:ilvl w:val="1"/>
          <w:numId w:val="23"/>
        </w:numPr>
        <w:ind w:left="720"/>
      </w:pPr>
      <w:r>
        <w:t>Members/enrollees</w:t>
      </w:r>
      <w:r w:rsidRPr="00542E9C">
        <w:t xml:space="preserve"> with wide-spread cerebral or extra-cranial metastases with limited life expectancy unlikely to gain clinical benefit within their remaining life</w:t>
      </w:r>
      <w:r>
        <w:t xml:space="preserve">; </w:t>
      </w:r>
    </w:p>
    <w:p w14:paraId="1BEBD4C2" w14:textId="3171DDC3" w:rsidR="00542E9C" w:rsidRPr="00542E9C" w:rsidRDefault="00542E9C" w:rsidP="00542E9C">
      <w:pPr>
        <w:numPr>
          <w:ilvl w:val="1"/>
          <w:numId w:val="23"/>
        </w:numPr>
        <w:ind w:left="720"/>
      </w:pPr>
      <w:r>
        <w:t>Members/enrollees</w:t>
      </w:r>
      <w:r w:rsidRPr="00542E9C">
        <w:t xml:space="preserve"> with poor performance status (Karnofsky Performance Status less than 40 or an ECOG Performance gre</w:t>
      </w:r>
      <w:r w:rsidRPr="00813253">
        <w:t>ater than 3</w:t>
      </w:r>
      <w:r w:rsidR="004C6F14">
        <w:t>, see Tables 1 and 2</w:t>
      </w:r>
      <w:r w:rsidRPr="00813253">
        <w:t>)</w:t>
      </w:r>
      <w:r w:rsidR="004C6F14">
        <w:t>;*</w:t>
      </w:r>
    </w:p>
    <w:p w14:paraId="13BA34D5" w14:textId="3B9517ED" w:rsidR="00542E9C" w:rsidRDefault="00542E9C" w:rsidP="00542E9C">
      <w:pPr>
        <w:numPr>
          <w:ilvl w:val="1"/>
          <w:numId w:val="23"/>
        </w:numPr>
        <w:ind w:left="720"/>
      </w:pPr>
      <w:r w:rsidRPr="00542E9C">
        <w:t>Cobalt-60 pallidotomy</w:t>
      </w:r>
      <w:r w:rsidR="004C2757">
        <w:t>.</w:t>
      </w:r>
      <w:r w:rsidR="009C5A91">
        <w:rPr>
          <w:vertAlign w:val="superscript"/>
        </w:rPr>
        <w:t>1</w:t>
      </w:r>
    </w:p>
    <w:p w14:paraId="12094669" w14:textId="1F8DC096" w:rsidR="004C2757" w:rsidRDefault="004C2757" w:rsidP="004C2757"/>
    <w:p w14:paraId="5648F475" w14:textId="57C41257" w:rsidR="004C2757" w:rsidRPr="004C2757" w:rsidRDefault="004C2757" w:rsidP="00FA140A">
      <w:pPr>
        <w:pStyle w:val="ListParagraph"/>
        <w:numPr>
          <w:ilvl w:val="0"/>
          <w:numId w:val="25"/>
        </w:numPr>
        <w:ind w:left="360" w:hanging="450"/>
      </w:pPr>
      <w:bookmarkStart w:id="0" w:name="_Hlk141107766"/>
      <w:r w:rsidRPr="004C2757">
        <w:rPr>
          <w:bCs/>
        </w:rPr>
        <w:t xml:space="preserve">It is the policy of </w:t>
      </w:r>
      <w:r w:rsidR="006543F0">
        <w:rPr>
          <w:bCs/>
        </w:rPr>
        <w:t xml:space="preserve">Medicare </w:t>
      </w:r>
      <w:r w:rsidRPr="004C2757">
        <w:rPr>
          <w:bCs/>
        </w:rPr>
        <w:t>health plans affiliated with Centene Corporation</w:t>
      </w:r>
      <w:r w:rsidRPr="004C2757">
        <w:rPr>
          <w:bCs/>
          <w:vertAlign w:val="superscript"/>
        </w:rPr>
        <w:t>®</w:t>
      </w:r>
      <w:r w:rsidRPr="004C2757">
        <w:rPr>
          <w:bCs/>
        </w:rPr>
        <w:t xml:space="preserve"> </w:t>
      </w:r>
      <w:r w:rsidRPr="004C2757">
        <w:t xml:space="preserve">that </w:t>
      </w:r>
      <w:r w:rsidR="003173D4" w:rsidRPr="003173D4">
        <w:rPr>
          <w:i/>
          <w:iCs/>
        </w:rPr>
        <w:t xml:space="preserve">stereotactic body radiation therapy </w:t>
      </w:r>
      <w:r w:rsidR="003173D4">
        <w:rPr>
          <w:i/>
          <w:iCs/>
        </w:rPr>
        <w:t>(</w:t>
      </w:r>
      <w:r w:rsidRPr="004C2757">
        <w:rPr>
          <w:i/>
          <w:iCs/>
        </w:rPr>
        <w:t>SBRT</w:t>
      </w:r>
      <w:r w:rsidR="003173D4">
        <w:rPr>
          <w:i/>
          <w:iCs/>
        </w:rPr>
        <w:t>)</w:t>
      </w:r>
      <w:r w:rsidR="00A62171">
        <w:rPr>
          <w:i/>
          <w:iCs/>
        </w:rPr>
        <w:t xml:space="preserve"> </w:t>
      </w:r>
      <w:r w:rsidR="00984C8A" w:rsidRPr="004C2757">
        <w:t>is</w:t>
      </w:r>
      <w:r w:rsidRPr="004C2757">
        <w:t xml:space="preserve"> </w:t>
      </w:r>
      <w:r w:rsidRPr="004C2757">
        <w:rPr>
          <w:b/>
        </w:rPr>
        <w:t>medically necessary</w:t>
      </w:r>
      <w:r w:rsidRPr="004C2757">
        <w:t xml:space="preserve"> for </w:t>
      </w:r>
      <w:r w:rsidR="00FB480E">
        <w:t xml:space="preserve">any of </w:t>
      </w:r>
      <w:r w:rsidR="00FB480E" w:rsidRPr="00FA140A">
        <w:t>the following</w:t>
      </w:r>
      <w:r w:rsidRPr="004C2757">
        <w:t>:</w:t>
      </w:r>
    </w:p>
    <w:bookmarkEnd w:id="0"/>
    <w:p w14:paraId="1C21F636" w14:textId="128AC6BC" w:rsidR="004C2757" w:rsidRDefault="00122E45" w:rsidP="00122E45">
      <w:pPr>
        <w:pStyle w:val="ListParagraph"/>
        <w:numPr>
          <w:ilvl w:val="1"/>
          <w:numId w:val="25"/>
        </w:numPr>
        <w:ind w:left="720"/>
      </w:pPr>
      <w:r>
        <w:t>P</w:t>
      </w:r>
      <w:r w:rsidRPr="00122E45">
        <w:t>rimary tumors and tumors metastatic to the lung, liver, kidney, adrenal gland, or pancreas</w:t>
      </w:r>
      <w:r>
        <w:t xml:space="preserve">; </w:t>
      </w:r>
    </w:p>
    <w:p w14:paraId="70F6CE25" w14:textId="2F4A401B" w:rsidR="00122E45" w:rsidRDefault="00122E45" w:rsidP="00122E45">
      <w:pPr>
        <w:pStyle w:val="ListParagraph"/>
        <w:numPr>
          <w:ilvl w:val="1"/>
          <w:numId w:val="25"/>
        </w:numPr>
        <w:ind w:left="720"/>
      </w:pPr>
      <w:r>
        <w:t>T</w:t>
      </w:r>
      <w:r w:rsidRPr="00122E45">
        <w:t>reatment of pelvic and head and neck tumors that have recurred after primary irradiation</w:t>
      </w:r>
      <w:r>
        <w:t xml:space="preserve">; </w:t>
      </w:r>
    </w:p>
    <w:p w14:paraId="4E8A116B" w14:textId="3E9F6E6F" w:rsidR="00122E45" w:rsidRDefault="00122E45" w:rsidP="00122E45">
      <w:pPr>
        <w:pStyle w:val="ListParagraph"/>
        <w:numPr>
          <w:ilvl w:val="1"/>
          <w:numId w:val="25"/>
        </w:numPr>
        <w:ind w:left="720"/>
      </w:pPr>
      <w:r>
        <w:t xml:space="preserve">Members/enrollees </w:t>
      </w:r>
      <w:r w:rsidRPr="00122E45">
        <w:t>with clinically localized, low- to intermediate-risk prostate cancer</w:t>
      </w:r>
      <w:r>
        <w:t xml:space="preserve">; </w:t>
      </w:r>
    </w:p>
    <w:p w14:paraId="7B8AD587" w14:textId="77777777" w:rsidR="00EC1A7E" w:rsidRDefault="00122E45" w:rsidP="00122E45">
      <w:pPr>
        <w:pStyle w:val="ListParagraph"/>
        <w:numPr>
          <w:ilvl w:val="1"/>
          <w:numId w:val="25"/>
        </w:numPr>
        <w:ind w:left="720"/>
      </w:pPr>
      <w:r>
        <w:t>T</w:t>
      </w:r>
      <w:r w:rsidRPr="00122E45">
        <w:t>reatment</w:t>
      </w:r>
      <w:r>
        <w:t xml:space="preserve"> </w:t>
      </w:r>
      <w:r w:rsidRPr="00122E45">
        <w:t>of</w:t>
      </w:r>
      <w:r w:rsidR="0061723E">
        <w:t xml:space="preserve"> recu</w:t>
      </w:r>
      <w:r w:rsidR="009E6E39">
        <w:t xml:space="preserve">rrence </w:t>
      </w:r>
      <w:r w:rsidR="009E6E39" w:rsidRPr="00122E45">
        <w:t xml:space="preserve">in or near previously irradiated regions </w:t>
      </w:r>
      <w:r w:rsidR="009E6E39">
        <w:t>of</w:t>
      </w:r>
      <w:r w:rsidRPr="00122E45">
        <w:t xml:space="preserve"> any body site or internal </w:t>
      </w:r>
      <w:r w:rsidR="00453C03" w:rsidRPr="00122E45">
        <w:t>organ</w:t>
      </w:r>
      <w:r w:rsidR="00EC1A7E">
        <w:t xml:space="preserve"> and both of the following: </w:t>
      </w:r>
    </w:p>
    <w:p w14:paraId="1280AD5A" w14:textId="77777777" w:rsidR="00EC1A7E" w:rsidRDefault="00EC1A7E" w:rsidP="00EC1A7E">
      <w:pPr>
        <w:pStyle w:val="ListParagraph"/>
        <w:numPr>
          <w:ilvl w:val="2"/>
          <w:numId w:val="25"/>
        </w:numPr>
        <w:ind w:left="1080" w:hanging="360"/>
      </w:pPr>
      <w:r>
        <w:t>A</w:t>
      </w:r>
      <w:r w:rsidR="00122E45" w:rsidRPr="00122E45">
        <w:t xml:space="preserve"> high level of precision and accuracy or a high dose per fraction is indicated to minimize the risk of injury to surrounding normal tissues</w:t>
      </w:r>
      <w:r>
        <w:t xml:space="preserve">; </w:t>
      </w:r>
    </w:p>
    <w:p w14:paraId="74F04DAA" w14:textId="2361F159" w:rsidR="00DB5AC8" w:rsidRPr="009F0703" w:rsidRDefault="00EC1A7E" w:rsidP="00DB5AC8">
      <w:pPr>
        <w:pStyle w:val="ListParagraph"/>
        <w:numPr>
          <w:ilvl w:val="2"/>
          <w:numId w:val="25"/>
        </w:numPr>
        <w:ind w:left="1080" w:hanging="360"/>
      </w:pPr>
      <w:r>
        <w:t>T</w:t>
      </w:r>
      <w:r w:rsidR="00122E45" w:rsidRPr="00122E45">
        <w:t xml:space="preserve">reatment with conventional methods is not appropriate or safe for the particular </w:t>
      </w:r>
      <w:r>
        <w:t>member/enrollee</w:t>
      </w:r>
      <w:r w:rsidR="00122E45" w:rsidRPr="00122E45">
        <w:t xml:space="preserve"> (medical records must describe the specific circumstances).</w:t>
      </w:r>
      <w:r w:rsidR="00B9123E">
        <w:rPr>
          <w:vertAlign w:val="superscript"/>
        </w:rPr>
        <w:t>1</w:t>
      </w:r>
    </w:p>
    <w:p w14:paraId="64A28224" w14:textId="04A26AED" w:rsidR="00DB5AC8" w:rsidRDefault="00DB5AC8" w:rsidP="00DB5AC8">
      <w:pPr>
        <w:pStyle w:val="ListParagraph"/>
        <w:numPr>
          <w:ilvl w:val="1"/>
          <w:numId w:val="25"/>
        </w:numPr>
        <w:ind w:left="720"/>
      </w:pPr>
      <w:r>
        <w:t>Extracranial oligometastatic disease, any of the following:</w:t>
      </w:r>
      <w:r w:rsidR="00941DB0">
        <w:rPr>
          <w:vertAlign w:val="superscript"/>
        </w:rPr>
        <w:t>3</w:t>
      </w:r>
    </w:p>
    <w:p w14:paraId="1D70B511" w14:textId="5F5AF65F" w:rsidR="00922EAB" w:rsidRDefault="00922EAB" w:rsidP="00922EAB">
      <w:pPr>
        <w:pStyle w:val="ListParagraph"/>
        <w:numPr>
          <w:ilvl w:val="2"/>
          <w:numId w:val="25"/>
        </w:numPr>
        <w:ind w:left="1080" w:hanging="360"/>
      </w:pPr>
      <w:r>
        <w:t>One to three metastatic lesions involving the lungs, liver or bone</w:t>
      </w:r>
      <w:r w:rsidR="006E394E">
        <w:t xml:space="preserve">; </w:t>
      </w:r>
    </w:p>
    <w:p w14:paraId="40021B7E" w14:textId="61B2B88B" w:rsidR="00922EAB" w:rsidRDefault="00922EAB" w:rsidP="00922EAB">
      <w:pPr>
        <w:pStyle w:val="ListParagraph"/>
        <w:numPr>
          <w:ilvl w:val="2"/>
          <w:numId w:val="25"/>
        </w:numPr>
        <w:ind w:left="1080" w:hanging="360"/>
      </w:pPr>
      <w:r>
        <w:t>Primary tumor is breast, colorectal, melanoma, non-small cell lung, prostate, renal cell or sarcoma;</w:t>
      </w:r>
    </w:p>
    <w:p w14:paraId="7AC9BC0A" w14:textId="135F66B9" w:rsidR="00922EAB" w:rsidRDefault="00922EAB" w:rsidP="00922EAB">
      <w:pPr>
        <w:pStyle w:val="ListParagraph"/>
        <w:numPr>
          <w:ilvl w:val="2"/>
          <w:numId w:val="25"/>
        </w:numPr>
        <w:ind w:left="1080" w:hanging="360"/>
      </w:pPr>
      <w:r>
        <w:t>Primary tumor is controlled</w:t>
      </w:r>
      <w:r w:rsidR="006E394E">
        <w:t xml:space="preserve">; </w:t>
      </w:r>
    </w:p>
    <w:p w14:paraId="563A68F9" w14:textId="610C35EE" w:rsidR="00922EAB" w:rsidRPr="009F0703" w:rsidRDefault="00922EAB" w:rsidP="00922EAB">
      <w:pPr>
        <w:pStyle w:val="ListParagraph"/>
        <w:numPr>
          <w:ilvl w:val="2"/>
          <w:numId w:val="25"/>
        </w:numPr>
        <w:ind w:left="1080" w:hanging="360"/>
      </w:pPr>
      <w:r>
        <w:t>No prior history of metastatic disease.</w:t>
      </w:r>
    </w:p>
    <w:p w14:paraId="70FE18E4" w14:textId="2C8E32AA" w:rsidR="00401E3B" w:rsidRPr="00B82396" w:rsidRDefault="00401E3B" w:rsidP="00401E3B">
      <w:pPr>
        <w:pStyle w:val="ListParagraph"/>
        <w:numPr>
          <w:ilvl w:val="1"/>
          <w:numId w:val="25"/>
        </w:numPr>
        <w:ind w:left="720"/>
      </w:pPr>
      <w:r w:rsidRPr="00B82396">
        <w:t>Acoustic neuroma</w:t>
      </w:r>
      <w:r w:rsidR="007C4807" w:rsidRPr="00B82396">
        <w:t>;</w:t>
      </w:r>
      <w:r w:rsidR="0061469C" w:rsidRPr="009F0703">
        <w:rPr>
          <w:vertAlign w:val="superscript"/>
        </w:rPr>
        <w:t>4</w:t>
      </w:r>
    </w:p>
    <w:p w14:paraId="6615B02E" w14:textId="475C0674" w:rsidR="007C4807" w:rsidRPr="009F0703" w:rsidRDefault="00EE2EA8" w:rsidP="009F0703">
      <w:pPr>
        <w:pStyle w:val="ListParagraph"/>
        <w:numPr>
          <w:ilvl w:val="1"/>
          <w:numId w:val="25"/>
        </w:numPr>
        <w:ind w:left="720"/>
      </w:pPr>
      <w:r>
        <w:lastRenderedPageBreak/>
        <w:t>Spinal tumors</w:t>
      </w:r>
      <w:r w:rsidR="00175619" w:rsidRPr="009F0703">
        <w:t>.</w:t>
      </w:r>
      <w:r w:rsidR="009F0703" w:rsidRPr="009F0703">
        <w:rPr>
          <w:vertAlign w:val="superscript"/>
        </w:rPr>
        <w:t>5</w:t>
      </w:r>
    </w:p>
    <w:p w14:paraId="7C7C1093" w14:textId="77777777" w:rsidR="001E3CC1" w:rsidRDefault="001E3CC1" w:rsidP="00FA140A">
      <w:pPr>
        <w:pStyle w:val="ListParagraph"/>
      </w:pPr>
    </w:p>
    <w:p w14:paraId="01E49923" w14:textId="7B5FE298" w:rsidR="00984C8A" w:rsidRDefault="00984C8A" w:rsidP="00984C8A">
      <w:pPr>
        <w:pStyle w:val="ListParagraph"/>
        <w:numPr>
          <w:ilvl w:val="0"/>
          <w:numId w:val="27"/>
        </w:numPr>
        <w:ind w:left="360" w:hanging="450"/>
      </w:pPr>
      <w:r w:rsidRPr="004C2757">
        <w:rPr>
          <w:bCs/>
        </w:rPr>
        <w:t xml:space="preserve">It is the policy of </w:t>
      </w:r>
      <w:r w:rsidR="006543F0">
        <w:rPr>
          <w:bCs/>
        </w:rPr>
        <w:t xml:space="preserve">Medicare </w:t>
      </w:r>
      <w:r w:rsidRPr="004C2757">
        <w:rPr>
          <w:bCs/>
        </w:rPr>
        <w:t>health plans affiliated with Centene Corporation</w:t>
      </w:r>
      <w:r w:rsidRPr="004C2757">
        <w:rPr>
          <w:bCs/>
          <w:vertAlign w:val="superscript"/>
        </w:rPr>
        <w:t>®</w:t>
      </w:r>
      <w:r w:rsidRPr="004C2757">
        <w:rPr>
          <w:bCs/>
        </w:rPr>
        <w:t xml:space="preserve"> </w:t>
      </w:r>
      <w:r w:rsidRPr="004C2757">
        <w:t xml:space="preserve">that </w:t>
      </w:r>
      <w:r w:rsidR="0048558B" w:rsidRPr="003173D4">
        <w:rPr>
          <w:i/>
          <w:iCs/>
        </w:rPr>
        <w:t>stereotactic body radiation therapy</w:t>
      </w:r>
      <w:r w:rsidR="0048558B" w:rsidRPr="004C2757">
        <w:rPr>
          <w:i/>
          <w:iCs/>
        </w:rPr>
        <w:t xml:space="preserve"> </w:t>
      </w:r>
      <w:r w:rsidR="00755B19">
        <w:rPr>
          <w:i/>
          <w:iCs/>
        </w:rPr>
        <w:t>(</w:t>
      </w:r>
      <w:r w:rsidRPr="004C2757">
        <w:rPr>
          <w:i/>
          <w:iCs/>
        </w:rPr>
        <w:t>SBRT</w:t>
      </w:r>
      <w:r w:rsidR="00755B19">
        <w:rPr>
          <w:i/>
          <w:iCs/>
        </w:rPr>
        <w:t>)</w:t>
      </w:r>
      <w:r>
        <w:rPr>
          <w:i/>
          <w:iCs/>
        </w:rPr>
        <w:t xml:space="preserve"> </w:t>
      </w:r>
      <w:r w:rsidRPr="004C2757">
        <w:t>is</w:t>
      </w:r>
      <w:r>
        <w:t xml:space="preserve"> </w:t>
      </w:r>
      <w:r w:rsidRPr="00FA140A">
        <w:rPr>
          <w:b/>
          <w:bCs/>
        </w:rPr>
        <w:t>not</w:t>
      </w:r>
      <w:r w:rsidRPr="004C2757">
        <w:t xml:space="preserve"> </w:t>
      </w:r>
      <w:r w:rsidRPr="004C2757">
        <w:rPr>
          <w:b/>
        </w:rPr>
        <w:t>medically necessary</w:t>
      </w:r>
      <w:r w:rsidRPr="004C2757">
        <w:t xml:space="preserve"> for </w:t>
      </w:r>
      <w:r>
        <w:t xml:space="preserve">any of </w:t>
      </w:r>
      <w:r w:rsidRPr="00D145B9">
        <w:t>the following</w:t>
      </w:r>
      <w:r w:rsidRPr="004C2757">
        <w:t>:</w:t>
      </w:r>
    </w:p>
    <w:p w14:paraId="49B02D71" w14:textId="214D7A09" w:rsidR="001E3CC1" w:rsidRDefault="001E3CC1" w:rsidP="001E3CC1">
      <w:pPr>
        <w:pStyle w:val="ListParagraph"/>
        <w:numPr>
          <w:ilvl w:val="1"/>
          <w:numId w:val="11"/>
        </w:numPr>
        <w:ind w:left="720"/>
      </w:pPr>
      <w:r>
        <w:t xml:space="preserve">As the </w:t>
      </w:r>
      <w:r w:rsidRPr="001E3CC1">
        <w:t xml:space="preserve">Primary treatment of lesions of bone, breast, uterus, ovary, and </w:t>
      </w:r>
      <w:r w:rsidR="00BE796B">
        <w:t xml:space="preserve">all </w:t>
      </w:r>
      <w:r w:rsidRPr="001E3CC1">
        <w:t>other internal organs</w:t>
      </w:r>
      <w:r w:rsidR="00760382">
        <w:t xml:space="preserve"> </w:t>
      </w:r>
      <w:r w:rsidR="00EA2E0E">
        <w:t>not</w:t>
      </w:r>
      <w:r w:rsidR="00B66364">
        <w:t xml:space="preserve"> specified above</w:t>
      </w:r>
      <w:r w:rsidR="00EA2E0E">
        <w:t>;</w:t>
      </w:r>
      <w:r>
        <w:t xml:space="preserve"> </w:t>
      </w:r>
    </w:p>
    <w:p w14:paraId="70719803" w14:textId="158A5A4F" w:rsidR="001E3CC1" w:rsidRPr="001E3CC1" w:rsidRDefault="001E3CC1" w:rsidP="001E3CC1">
      <w:pPr>
        <w:pStyle w:val="ListParagraph"/>
        <w:numPr>
          <w:ilvl w:val="1"/>
          <w:numId w:val="11"/>
        </w:numPr>
        <w:ind w:left="720"/>
      </w:pPr>
      <w:r>
        <w:t xml:space="preserve">Treatment </w:t>
      </w:r>
      <w:r w:rsidRPr="001E3CC1">
        <w:t>is unlikely to result in clinical cancer control and/or functional improvement</w:t>
      </w:r>
      <w:r>
        <w:t xml:space="preserve">; </w:t>
      </w:r>
    </w:p>
    <w:p w14:paraId="50E18C45" w14:textId="3855899E" w:rsidR="001E3CC1" w:rsidRPr="001E3CC1" w:rsidRDefault="001E3CC1" w:rsidP="001E3CC1">
      <w:pPr>
        <w:pStyle w:val="ListParagraph"/>
        <w:numPr>
          <w:ilvl w:val="1"/>
          <w:numId w:val="11"/>
        </w:numPr>
        <w:ind w:left="720"/>
      </w:pPr>
      <w:r w:rsidRPr="001E3CC1">
        <w:t>The tumor burden cannot be completely targeted with acceptable risk to critical normal structures</w:t>
      </w:r>
      <w:r>
        <w:t xml:space="preserve">; </w:t>
      </w:r>
    </w:p>
    <w:p w14:paraId="77CF2388" w14:textId="2E97ECC3" w:rsidR="001E3CC1" w:rsidRPr="001E3CC1" w:rsidRDefault="00BE796B" w:rsidP="001E3CC1">
      <w:pPr>
        <w:pStyle w:val="ListParagraph"/>
        <w:numPr>
          <w:ilvl w:val="1"/>
          <w:numId w:val="11"/>
        </w:numPr>
        <w:ind w:left="720"/>
      </w:pPr>
      <w:r>
        <w:t>Member/enrollee</w:t>
      </w:r>
      <w:r w:rsidR="001E3CC1" w:rsidRPr="001E3CC1">
        <w:t xml:space="preserve"> has a poor performance status (Karnofsky Performance Status less than 40 or Eastern Cooperative Oncology Group (ECOG) Status of 3 or worse</w:t>
      </w:r>
      <w:r w:rsidR="0024778C">
        <w:t>- see Table</w:t>
      </w:r>
      <w:r w:rsidR="004C6F14">
        <w:t>s</w:t>
      </w:r>
      <w:r w:rsidR="0024778C">
        <w:t xml:space="preserve"> 1</w:t>
      </w:r>
      <w:r w:rsidR="004C6F14">
        <w:t xml:space="preserve"> and 2</w:t>
      </w:r>
      <w:r w:rsidR="001E3CC1" w:rsidRPr="001E3CC1">
        <w:t>)</w:t>
      </w:r>
      <w:r w:rsidR="00042CFE">
        <w:t>;</w:t>
      </w:r>
      <w:r w:rsidR="0024778C">
        <w:t>*</w:t>
      </w:r>
      <w:r w:rsidR="00042CFE">
        <w:t xml:space="preserve"> </w:t>
      </w:r>
      <w:r w:rsidR="001E3CC1">
        <w:t xml:space="preserve"> </w:t>
      </w:r>
    </w:p>
    <w:p w14:paraId="60930AE5" w14:textId="657E0A88" w:rsidR="001E3CC1" w:rsidRPr="001E3CC1" w:rsidRDefault="001E3CC1" w:rsidP="001E3CC1">
      <w:pPr>
        <w:pStyle w:val="ListParagraph"/>
        <w:numPr>
          <w:ilvl w:val="1"/>
          <w:numId w:val="11"/>
        </w:numPr>
        <w:ind w:left="720"/>
      </w:pPr>
      <w:r w:rsidRPr="001E3CC1">
        <w:t xml:space="preserve">Recurrent (other than pelvic and head and neck tumors) or metastatic disease </w:t>
      </w:r>
      <w:r w:rsidR="002A509D">
        <w:t xml:space="preserve">that </w:t>
      </w:r>
      <w:r w:rsidRPr="001E3CC1">
        <w:t>could be treated by conventional methods (record must describe why other radiation therapy measures are not appropriate or safe for the particular</w:t>
      </w:r>
      <w:r w:rsidR="008868D7">
        <w:t xml:space="preserve"> member/enrollee</w:t>
      </w:r>
      <w:r w:rsidRPr="001E3CC1">
        <w:t>)</w:t>
      </w:r>
      <w:r>
        <w:t xml:space="preserve">; </w:t>
      </w:r>
    </w:p>
    <w:p w14:paraId="31C5EF5D" w14:textId="41E44F90" w:rsidR="001E3CC1" w:rsidRDefault="0096175B">
      <w:pPr>
        <w:pStyle w:val="ListParagraph"/>
        <w:numPr>
          <w:ilvl w:val="1"/>
          <w:numId w:val="11"/>
        </w:numPr>
        <w:ind w:left="720"/>
      </w:pPr>
      <w:r>
        <w:t>A</w:t>
      </w:r>
      <w:r w:rsidRPr="001E3CC1">
        <w:t>ny course of radiation treatment extending beyond five fractions</w:t>
      </w:r>
      <w:r w:rsidR="003D44E6">
        <w:t xml:space="preserve"> (</w:t>
      </w:r>
      <w:r w:rsidR="0094631A">
        <w:t>sessions)</w:t>
      </w:r>
      <w:r w:rsidR="008912D1">
        <w:t xml:space="preserve">. </w:t>
      </w:r>
      <w:r w:rsidR="002A509D">
        <w:t>(</w:t>
      </w:r>
      <w:r w:rsidR="008912D1">
        <w:t>This is not considered SBRT, s</w:t>
      </w:r>
      <w:r w:rsidR="001E3CC1" w:rsidRPr="001E3CC1">
        <w:t>ince the goal of SBRT is to maximize the potency of the radiotherapy by completing an entire course of treatment within an extremely accelerated time frame</w:t>
      </w:r>
      <w:r w:rsidR="008912D1">
        <w:t xml:space="preserve">. </w:t>
      </w:r>
      <w:r w:rsidR="001E3CC1" w:rsidRPr="001E3CC1">
        <w:t>SBRT is meant to represent a complete course of treatment and not to be used as a boost following a conventionally fractionated course of treatment</w:t>
      </w:r>
      <w:r w:rsidR="002A509D">
        <w:t>)</w:t>
      </w:r>
      <w:r w:rsidR="001E3CC1" w:rsidRPr="001E3CC1">
        <w:t>.</w:t>
      </w:r>
      <w:r w:rsidR="00B9123E">
        <w:rPr>
          <w:vertAlign w:val="superscript"/>
        </w:rPr>
        <w:t>1</w:t>
      </w:r>
    </w:p>
    <w:p w14:paraId="0550F552" w14:textId="77777777" w:rsidR="00042CFE" w:rsidRDefault="00042CFE" w:rsidP="00042CFE"/>
    <w:p w14:paraId="392BF461" w14:textId="50971020" w:rsidR="00561023" w:rsidRDefault="00042CFE" w:rsidP="00941DB0">
      <w:pPr>
        <w:ind w:left="360"/>
      </w:pPr>
      <w:r>
        <w:t>*Note: T</w:t>
      </w:r>
      <w:r w:rsidRPr="001E3CC1">
        <w:t>he </w:t>
      </w:r>
      <w:r w:rsidRPr="001E3CC1">
        <w:rPr>
          <w:u w:val="single"/>
        </w:rPr>
        <w:t>higher</w:t>
      </w:r>
      <w:r w:rsidRPr="001E3CC1">
        <w:t> a Karnofsky Performance Status is, the </w:t>
      </w:r>
      <w:r w:rsidRPr="001E3CC1">
        <w:rPr>
          <w:u w:val="single"/>
        </w:rPr>
        <w:t>better</w:t>
      </w:r>
      <w:r w:rsidRPr="001E3CC1">
        <w:t xml:space="preserve"> a </w:t>
      </w:r>
      <w:r>
        <w:t>member/enrollee</w:t>
      </w:r>
      <w:r w:rsidRPr="001E3CC1">
        <w:t xml:space="preserve"> is doing. However, the </w:t>
      </w:r>
      <w:r w:rsidRPr="001E3CC1">
        <w:rPr>
          <w:u w:val="single"/>
        </w:rPr>
        <w:t>lower</w:t>
      </w:r>
      <w:r w:rsidRPr="001E3CC1">
        <w:t> an Eastern Cooperative Oncology Group (ECOG) Performance Status is, the </w:t>
      </w:r>
      <w:r w:rsidRPr="001E3CC1">
        <w:rPr>
          <w:u w:val="single"/>
        </w:rPr>
        <w:t>better</w:t>
      </w:r>
      <w:r w:rsidRPr="001E3CC1">
        <w:t xml:space="preserve"> a </w:t>
      </w:r>
      <w:r>
        <w:t>member/enrollee</w:t>
      </w:r>
      <w:r w:rsidRPr="001E3CC1">
        <w:t xml:space="preserve"> is doing</w:t>
      </w:r>
      <w:r>
        <w:t xml:space="preserve">. </w:t>
      </w:r>
    </w:p>
    <w:tbl>
      <w:tblPr>
        <w:tblStyle w:val="ListTable3-Accent1"/>
        <w:tblpPr w:leftFromText="180" w:rightFromText="180" w:vertAnchor="text" w:horzAnchor="margin" w:tblpX="-20" w:tblpY="262"/>
        <w:tblW w:w="9360" w:type="dxa"/>
        <w:tblBorders>
          <w:top w:val="single" w:sz="12" w:space="0" w:color="auto"/>
          <w:left w:val="single" w:sz="12" w:space="0" w:color="auto"/>
          <w:bottom w:val="single" w:sz="12" w:space="0" w:color="auto"/>
          <w:right w:val="single" w:sz="12" w:space="0" w:color="auto"/>
          <w:insideH w:val="single" w:sz="4" w:space="0" w:color="4F81BD" w:themeColor="accent1"/>
        </w:tblBorders>
        <w:tblLook w:val="04A0" w:firstRow="1" w:lastRow="0" w:firstColumn="1" w:lastColumn="0" w:noHBand="0" w:noVBand="1"/>
      </w:tblPr>
      <w:tblGrid>
        <w:gridCol w:w="1902"/>
        <w:gridCol w:w="7458"/>
      </w:tblGrid>
      <w:tr w:rsidR="00561023" w:rsidRPr="00762BBD" w14:paraId="50694B6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60" w:type="dxa"/>
            <w:gridSpan w:val="2"/>
            <w:tcBorders>
              <w:top w:val="single" w:sz="4" w:space="0" w:color="auto"/>
              <w:left w:val="single" w:sz="4" w:space="0" w:color="auto"/>
              <w:bottom w:val="single" w:sz="4" w:space="0" w:color="4F81BD" w:themeColor="accent1"/>
              <w:right w:val="single" w:sz="4" w:space="0" w:color="auto"/>
            </w:tcBorders>
            <w:shd w:val="clear" w:color="auto" w:fill="00548C"/>
          </w:tcPr>
          <w:p w14:paraId="2BBB6DA0" w14:textId="7495C25D" w:rsidR="00561023" w:rsidRPr="00762BBD" w:rsidRDefault="00561023">
            <w:pPr>
              <w:jc w:val="center"/>
            </w:pPr>
            <w:r w:rsidRPr="00FB0BA6">
              <w:t>Table 1</w:t>
            </w:r>
            <w:r w:rsidRPr="00DF7BCF">
              <w:t xml:space="preserve">: </w:t>
            </w:r>
            <w:r w:rsidR="00F65526" w:rsidRPr="00DF7BCF">
              <w:rPr>
                <w:b w:val="0"/>
                <w:bCs w:val="0"/>
              </w:rPr>
              <w:t>Karnofsky Performance Status Scale</w:t>
            </w:r>
          </w:p>
        </w:tc>
      </w:tr>
      <w:tr w:rsidR="00561023" w:rsidRPr="00934067" w14:paraId="6365F9A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02" w:type="dxa"/>
            <w:tcBorders>
              <w:top w:val="single" w:sz="4" w:space="0" w:color="4F81BD" w:themeColor="accent1"/>
              <w:left w:val="single" w:sz="4" w:space="0" w:color="auto"/>
              <w:bottom w:val="single" w:sz="4" w:space="0" w:color="4F81BD" w:themeColor="accent1"/>
            </w:tcBorders>
            <w:shd w:val="clear" w:color="auto" w:fill="00548C"/>
          </w:tcPr>
          <w:p w14:paraId="727E4B56" w14:textId="7D6C9B48" w:rsidR="00561023" w:rsidRPr="00F65526" w:rsidRDefault="003C3EBB">
            <w:pPr>
              <w:jc w:val="center"/>
            </w:pPr>
            <w:r>
              <w:t>Rating %</w:t>
            </w:r>
          </w:p>
        </w:tc>
        <w:tc>
          <w:tcPr>
            <w:tcW w:w="7458" w:type="dxa"/>
            <w:tcBorders>
              <w:top w:val="single" w:sz="4" w:space="0" w:color="4F81BD" w:themeColor="accent1"/>
              <w:left w:val="nil"/>
              <w:bottom w:val="single" w:sz="4" w:space="0" w:color="4F81BD" w:themeColor="accent1"/>
              <w:right w:val="single" w:sz="4" w:space="0" w:color="auto"/>
            </w:tcBorders>
            <w:shd w:val="clear" w:color="auto" w:fill="00548C"/>
          </w:tcPr>
          <w:p w14:paraId="721D26CA" w14:textId="13D60290" w:rsidR="00561023" w:rsidRPr="00F65526" w:rsidRDefault="007405C6">
            <w:pPr>
              <w:jc w:val="center"/>
              <w:cnfStyle w:val="100000000000" w:firstRow="1" w:lastRow="0" w:firstColumn="0" w:lastColumn="0" w:oddVBand="0" w:evenVBand="0" w:oddHBand="0" w:evenHBand="0" w:firstRowFirstColumn="0" w:firstRowLastColumn="0" w:lastRowFirstColumn="0" w:lastRowLastColumn="0"/>
            </w:pPr>
            <w:r>
              <w:t>Performance Status</w:t>
            </w:r>
          </w:p>
        </w:tc>
      </w:tr>
      <w:tr w:rsidR="00561023" w:rsidRPr="00544505" w14:paraId="2C3CD1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dxa"/>
            <w:tcBorders>
              <w:left w:val="single" w:sz="4" w:space="0" w:color="auto"/>
              <w:right w:val="single" w:sz="4" w:space="0" w:color="auto"/>
            </w:tcBorders>
          </w:tcPr>
          <w:p w14:paraId="5A279FFC" w14:textId="7CD41E5E" w:rsidR="00561023" w:rsidRPr="00762BBD" w:rsidRDefault="00A20758">
            <w:pPr>
              <w:jc w:val="center"/>
            </w:pPr>
            <w:r>
              <w:t>100</w:t>
            </w:r>
          </w:p>
        </w:tc>
        <w:tc>
          <w:tcPr>
            <w:tcW w:w="7458" w:type="dxa"/>
            <w:tcBorders>
              <w:left w:val="single" w:sz="4" w:space="0" w:color="auto"/>
              <w:right w:val="single" w:sz="4" w:space="0" w:color="auto"/>
            </w:tcBorders>
          </w:tcPr>
          <w:p w14:paraId="3D316D59" w14:textId="02CC8E7A" w:rsidR="00561023" w:rsidRPr="00544505" w:rsidRDefault="00C142A3">
            <w:pPr>
              <w:autoSpaceDE w:val="0"/>
              <w:autoSpaceDN w:val="0"/>
              <w:adjustRightInd w:val="0"/>
              <w:snapToGrid w:val="0"/>
              <w:cnfStyle w:val="000000100000" w:firstRow="0" w:lastRow="0" w:firstColumn="0" w:lastColumn="0" w:oddVBand="0" w:evenVBand="0" w:oddHBand="1" w:evenHBand="0" w:firstRowFirstColumn="0" w:firstRowLastColumn="0" w:lastRowFirstColumn="0" w:lastRowLastColumn="0"/>
            </w:pPr>
            <w:r w:rsidRPr="00C142A3">
              <w:t>Normal; no complaints, no evidence of disease</w:t>
            </w:r>
          </w:p>
        </w:tc>
      </w:tr>
      <w:tr w:rsidR="00561023" w:rsidRPr="00544505" w14:paraId="73FD5F5B" w14:textId="77777777">
        <w:tc>
          <w:tcPr>
            <w:cnfStyle w:val="001000000000" w:firstRow="0" w:lastRow="0" w:firstColumn="1" w:lastColumn="0" w:oddVBand="0" w:evenVBand="0" w:oddHBand="0" w:evenHBand="0" w:firstRowFirstColumn="0" w:firstRowLastColumn="0" w:lastRowFirstColumn="0" w:lastRowLastColumn="0"/>
            <w:tcW w:w="1902" w:type="dxa"/>
            <w:tcBorders>
              <w:left w:val="single" w:sz="4" w:space="0" w:color="auto"/>
              <w:right w:val="single" w:sz="4" w:space="0" w:color="auto"/>
            </w:tcBorders>
          </w:tcPr>
          <w:p w14:paraId="3434E0B1" w14:textId="7FAC358C" w:rsidR="00561023" w:rsidRPr="00762BBD" w:rsidRDefault="00A20758">
            <w:pPr>
              <w:jc w:val="center"/>
            </w:pPr>
            <w:r>
              <w:t>90</w:t>
            </w:r>
          </w:p>
        </w:tc>
        <w:tc>
          <w:tcPr>
            <w:tcW w:w="7458" w:type="dxa"/>
            <w:tcBorders>
              <w:left w:val="single" w:sz="4" w:space="0" w:color="auto"/>
              <w:right w:val="single" w:sz="4" w:space="0" w:color="auto"/>
            </w:tcBorders>
          </w:tcPr>
          <w:p w14:paraId="6B9CA89C" w14:textId="3A769770" w:rsidR="00561023" w:rsidRPr="00544505" w:rsidRDefault="00C142A3">
            <w:pPr>
              <w:autoSpaceDE w:val="0"/>
              <w:autoSpaceDN w:val="0"/>
              <w:adjustRightInd w:val="0"/>
              <w:snapToGrid w:val="0"/>
              <w:cnfStyle w:val="000000000000" w:firstRow="0" w:lastRow="0" w:firstColumn="0" w:lastColumn="0" w:oddVBand="0" w:evenVBand="0" w:oddHBand="0" w:evenHBand="0" w:firstRowFirstColumn="0" w:firstRowLastColumn="0" w:lastRowFirstColumn="0" w:lastRowLastColumn="0"/>
            </w:pPr>
            <w:r w:rsidRPr="00C142A3">
              <w:t>Able to carry on normal activity; minor signs or symptoms of disease</w:t>
            </w:r>
          </w:p>
        </w:tc>
      </w:tr>
      <w:tr w:rsidR="00561023" w:rsidRPr="00762BBD" w14:paraId="61D65E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dxa"/>
            <w:tcBorders>
              <w:left w:val="single" w:sz="4" w:space="0" w:color="auto"/>
              <w:right w:val="single" w:sz="4" w:space="0" w:color="auto"/>
            </w:tcBorders>
          </w:tcPr>
          <w:p w14:paraId="5A401B78" w14:textId="2B3602A1" w:rsidR="00561023" w:rsidRPr="00762BBD" w:rsidRDefault="00A20758">
            <w:pPr>
              <w:jc w:val="center"/>
            </w:pPr>
            <w:r>
              <w:t>80</w:t>
            </w:r>
          </w:p>
        </w:tc>
        <w:tc>
          <w:tcPr>
            <w:tcW w:w="7458" w:type="dxa"/>
            <w:tcBorders>
              <w:left w:val="single" w:sz="4" w:space="0" w:color="auto"/>
              <w:right w:val="single" w:sz="4" w:space="0" w:color="auto"/>
            </w:tcBorders>
          </w:tcPr>
          <w:p w14:paraId="686ABCB5" w14:textId="5A61668D" w:rsidR="00561023" w:rsidRPr="00762BBD" w:rsidRDefault="00C142A3">
            <w:pPr>
              <w:autoSpaceDE w:val="0"/>
              <w:autoSpaceDN w:val="0"/>
              <w:adjustRightInd w:val="0"/>
              <w:snapToGrid w:val="0"/>
              <w:cnfStyle w:val="000000100000" w:firstRow="0" w:lastRow="0" w:firstColumn="0" w:lastColumn="0" w:oddVBand="0" w:evenVBand="0" w:oddHBand="1" w:evenHBand="0" w:firstRowFirstColumn="0" w:firstRowLastColumn="0" w:lastRowFirstColumn="0" w:lastRowLastColumn="0"/>
            </w:pPr>
            <w:r w:rsidRPr="00C142A3">
              <w:t>Normal activity with effort; some signs or symptoms of disease</w:t>
            </w:r>
          </w:p>
        </w:tc>
      </w:tr>
      <w:tr w:rsidR="00561023" w:rsidRPr="00762BBD" w14:paraId="587DC9DF" w14:textId="77777777" w:rsidTr="00FA140A">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tcPr>
          <w:p w14:paraId="77E49F99" w14:textId="42C5CD41" w:rsidR="00561023" w:rsidRPr="00762BBD" w:rsidRDefault="00A20758">
            <w:pPr>
              <w:jc w:val="center"/>
            </w:pPr>
            <w:r>
              <w:t>70</w:t>
            </w:r>
          </w:p>
        </w:tc>
        <w:tc>
          <w:tcPr>
            <w:tcW w:w="0" w:type="dxa"/>
            <w:tcBorders>
              <w:left w:val="single" w:sz="4" w:space="0" w:color="auto"/>
              <w:right w:val="single" w:sz="4" w:space="0" w:color="auto"/>
            </w:tcBorders>
          </w:tcPr>
          <w:p w14:paraId="18CBAB78" w14:textId="1AF809C7" w:rsidR="00561023" w:rsidRPr="00762BBD" w:rsidRDefault="00C3218B">
            <w:pPr>
              <w:autoSpaceDE w:val="0"/>
              <w:autoSpaceDN w:val="0"/>
              <w:adjustRightInd w:val="0"/>
              <w:snapToGrid w:val="0"/>
              <w:cnfStyle w:val="000000000000" w:firstRow="0" w:lastRow="0" w:firstColumn="0" w:lastColumn="0" w:oddVBand="0" w:evenVBand="0" w:oddHBand="0" w:evenHBand="0" w:firstRowFirstColumn="0" w:firstRowLastColumn="0" w:lastRowFirstColumn="0" w:lastRowLastColumn="0"/>
            </w:pPr>
            <w:r w:rsidRPr="00C3218B">
              <w:t>Cares for self; unable to carry on normal activity or to do active work</w:t>
            </w:r>
          </w:p>
        </w:tc>
      </w:tr>
      <w:tr w:rsidR="00A20758" w:rsidRPr="00762BBD" w14:paraId="26F42685" w14:textId="77777777" w:rsidTr="00FA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tcPr>
          <w:p w14:paraId="582AC07B" w14:textId="2E340405" w:rsidR="00A20758" w:rsidRPr="00762BBD" w:rsidRDefault="00A20758">
            <w:pPr>
              <w:jc w:val="center"/>
            </w:pPr>
            <w:r>
              <w:t>60</w:t>
            </w:r>
          </w:p>
        </w:tc>
        <w:tc>
          <w:tcPr>
            <w:tcW w:w="0" w:type="dxa"/>
            <w:tcBorders>
              <w:left w:val="single" w:sz="4" w:space="0" w:color="auto"/>
              <w:right w:val="single" w:sz="4" w:space="0" w:color="auto"/>
            </w:tcBorders>
          </w:tcPr>
          <w:p w14:paraId="7B271F99" w14:textId="08747165" w:rsidR="00A20758" w:rsidRPr="00762BBD" w:rsidRDefault="00C3218B">
            <w:pPr>
              <w:autoSpaceDE w:val="0"/>
              <w:autoSpaceDN w:val="0"/>
              <w:adjustRightInd w:val="0"/>
              <w:snapToGrid w:val="0"/>
              <w:cnfStyle w:val="000000100000" w:firstRow="0" w:lastRow="0" w:firstColumn="0" w:lastColumn="0" w:oddVBand="0" w:evenVBand="0" w:oddHBand="1" w:evenHBand="0" w:firstRowFirstColumn="0" w:firstRowLastColumn="0" w:lastRowFirstColumn="0" w:lastRowLastColumn="0"/>
              <w:rPr>
                <w:color w:val="000000"/>
                <w:lang w:val="x-none"/>
              </w:rPr>
            </w:pPr>
            <w:r w:rsidRPr="00C3218B">
              <w:rPr>
                <w:color w:val="000000"/>
              </w:rPr>
              <w:t>Requires occasional assistance but is able to care for most needs</w:t>
            </w:r>
          </w:p>
        </w:tc>
      </w:tr>
      <w:tr w:rsidR="00A20758" w:rsidRPr="00762BBD" w14:paraId="255DB932" w14:textId="77777777" w:rsidTr="00FA140A">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tcPr>
          <w:p w14:paraId="513E6225" w14:textId="3FF9C290" w:rsidR="00A20758" w:rsidRPr="00762BBD" w:rsidRDefault="00A20758">
            <w:pPr>
              <w:jc w:val="center"/>
            </w:pPr>
            <w:r>
              <w:t>50</w:t>
            </w:r>
          </w:p>
        </w:tc>
        <w:tc>
          <w:tcPr>
            <w:tcW w:w="0" w:type="dxa"/>
            <w:tcBorders>
              <w:left w:val="single" w:sz="4" w:space="0" w:color="auto"/>
              <w:right w:val="single" w:sz="4" w:space="0" w:color="auto"/>
            </w:tcBorders>
          </w:tcPr>
          <w:p w14:paraId="61481515" w14:textId="5C46A151" w:rsidR="00A20758" w:rsidRPr="00762BBD" w:rsidRDefault="00C3218B">
            <w:pPr>
              <w:autoSpaceDE w:val="0"/>
              <w:autoSpaceDN w:val="0"/>
              <w:adjustRightInd w:val="0"/>
              <w:snapToGrid w:val="0"/>
              <w:cnfStyle w:val="000000000000" w:firstRow="0" w:lastRow="0" w:firstColumn="0" w:lastColumn="0" w:oddVBand="0" w:evenVBand="0" w:oddHBand="0" w:evenHBand="0" w:firstRowFirstColumn="0" w:firstRowLastColumn="0" w:lastRowFirstColumn="0" w:lastRowLastColumn="0"/>
              <w:rPr>
                <w:color w:val="000000"/>
                <w:lang w:val="x-none"/>
              </w:rPr>
            </w:pPr>
            <w:r w:rsidRPr="00C3218B">
              <w:rPr>
                <w:color w:val="000000"/>
              </w:rPr>
              <w:t>Requires considerable assistance and frequent medical care</w:t>
            </w:r>
          </w:p>
        </w:tc>
      </w:tr>
      <w:tr w:rsidR="00A20758" w:rsidRPr="00762BBD" w14:paraId="7F1BBEA4" w14:textId="77777777" w:rsidTr="00FA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tcPr>
          <w:p w14:paraId="62266B97" w14:textId="37C1310C" w:rsidR="00A20758" w:rsidRPr="00762BBD" w:rsidRDefault="00A20758">
            <w:pPr>
              <w:jc w:val="center"/>
            </w:pPr>
            <w:r>
              <w:t>40</w:t>
            </w:r>
          </w:p>
        </w:tc>
        <w:tc>
          <w:tcPr>
            <w:tcW w:w="0" w:type="dxa"/>
            <w:tcBorders>
              <w:left w:val="single" w:sz="4" w:space="0" w:color="auto"/>
              <w:right w:val="single" w:sz="4" w:space="0" w:color="auto"/>
            </w:tcBorders>
          </w:tcPr>
          <w:p w14:paraId="76FA65AE" w14:textId="6BBC54CF" w:rsidR="00A20758" w:rsidRPr="00762BBD" w:rsidRDefault="009370D2">
            <w:pPr>
              <w:autoSpaceDE w:val="0"/>
              <w:autoSpaceDN w:val="0"/>
              <w:adjustRightInd w:val="0"/>
              <w:snapToGrid w:val="0"/>
              <w:cnfStyle w:val="000000100000" w:firstRow="0" w:lastRow="0" w:firstColumn="0" w:lastColumn="0" w:oddVBand="0" w:evenVBand="0" w:oddHBand="1" w:evenHBand="0" w:firstRowFirstColumn="0" w:firstRowLastColumn="0" w:lastRowFirstColumn="0" w:lastRowLastColumn="0"/>
              <w:rPr>
                <w:color w:val="000000"/>
                <w:lang w:val="x-none"/>
              </w:rPr>
            </w:pPr>
            <w:r w:rsidRPr="009370D2">
              <w:rPr>
                <w:color w:val="000000"/>
              </w:rPr>
              <w:t>Disabled; requires special care and assistance</w:t>
            </w:r>
          </w:p>
        </w:tc>
      </w:tr>
      <w:tr w:rsidR="00A20758" w:rsidRPr="00762BBD" w14:paraId="6EE674D0" w14:textId="77777777" w:rsidTr="00FA140A">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tcPr>
          <w:p w14:paraId="6443338E" w14:textId="3D123E90" w:rsidR="00A20758" w:rsidRPr="00762BBD" w:rsidRDefault="00A20758">
            <w:pPr>
              <w:jc w:val="center"/>
            </w:pPr>
            <w:r>
              <w:t>30</w:t>
            </w:r>
          </w:p>
        </w:tc>
        <w:tc>
          <w:tcPr>
            <w:tcW w:w="0" w:type="dxa"/>
            <w:tcBorders>
              <w:left w:val="single" w:sz="4" w:space="0" w:color="auto"/>
              <w:right w:val="single" w:sz="4" w:space="0" w:color="auto"/>
            </w:tcBorders>
          </w:tcPr>
          <w:p w14:paraId="011DCA4C" w14:textId="6D70D790" w:rsidR="00A20758" w:rsidRPr="00762BBD" w:rsidRDefault="009370D2">
            <w:pPr>
              <w:autoSpaceDE w:val="0"/>
              <w:autoSpaceDN w:val="0"/>
              <w:adjustRightInd w:val="0"/>
              <w:snapToGrid w:val="0"/>
              <w:cnfStyle w:val="000000000000" w:firstRow="0" w:lastRow="0" w:firstColumn="0" w:lastColumn="0" w:oddVBand="0" w:evenVBand="0" w:oddHBand="0" w:evenHBand="0" w:firstRowFirstColumn="0" w:firstRowLastColumn="0" w:lastRowFirstColumn="0" w:lastRowLastColumn="0"/>
              <w:rPr>
                <w:color w:val="000000"/>
                <w:lang w:val="x-none"/>
              </w:rPr>
            </w:pPr>
            <w:r w:rsidRPr="009370D2">
              <w:rPr>
                <w:color w:val="000000"/>
              </w:rPr>
              <w:t>Severely disabled; hospitalization is indicated although death not imminent</w:t>
            </w:r>
          </w:p>
        </w:tc>
      </w:tr>
      <w:tr w:rsidR="00A20758" w:rsidRPr="00762BBD" w14:paraId="59EDED6F" w14:textId="77777777" w:rsidTr="00FA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tcPr>
          <w:p w14:paraId="1FBFDD72" w14:textId="6C86429A" w:rsidR="00A20758" w:rsidRPr="00762BBD" w:rsidRDefault="00A20758">
            <w:pPr>
              <w:jc w:val="center"/>
            </w:pPr>
            <w:r>
              <w:t>20</w:t>
            </w:r>
          </w:p>
        </w:tc>
        <w:tc>
          <w:tcPr>
            <w:tcW w:w="0" w:type="dxa"/>
            <w:tcBorders>
              <w:left w:val="single" w:sz="4" w:space="0" w:color="auto"/>
              <w:right w:val="single" w:sz="4" w:space="0" w:color="auto"/>
            </w:tcBorders>
          </w:tcPr>
          <w:p w14:paraId="1E9F2227" w14:textId="09076141" w:rsidR="00A20758" w:rsidRPr="00762BBD" w:rsidRDefault="009370D2">
            <w:pPr>
              <w:autoSpaceDE w:val="0"/>
              <w:autoSpaceDN w:val="0"/>
              <w:adjustRightInd w:val="0"/>
              <w:snapToGrid w:val="0"/>
              <w:cnfStyle w:val="000000100000" w:firstRow="0" w:lastRow="0" w:firstColumn="0" w:lastColumn="0" w:oddVBand="0" w:evenVBand="0" w:oddHBand="1" w:evenHBand="0" w:firstRowFirstColumn="0" w:firstRowLastColumn="0" w:lastRowFirstColumn="0" w:lastRowLastColumn="0"/>
              <w:rPr>
                <w:color w:val="000000"/>
                <w:lang w:val="x-none"/>
              </w:rPr>
            </w:pPr>
            <w:r w:rsidRPr="009370D2">
              <w:rPr>
                <w:color w:val="000000"/>
              </w:rPr>
              <w:t>Very sick; hospitalization necessary; active supportive treatment is necessary</w:t>
            </w:r>
          </w:p>
        </w:tc>
      </w:tr>
      <w:tr w:rsidR="00A20758" w:rsidRPr="00762BBD" w14:paraId="32B09656" w14:textId="77777777" w:rsidTr="00FA140A">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tcPr>
          <w:p w14:paraId="56265900" w14:textId="7DAAB857" w:rsidR="00A20758" w:rsidRPr="00762BBD" w:rsidRDefault="00A20758">
            <w:pPr>
              <w:jc w:val="center"/>
            </w:pPr>
            <w:r>
              <w:t>10</w:t>
            </w:r>
          </w:p>
        </w:tc>
        <w:tc>
          <w:tcPr>
            <w:tcW w:w="0" w:type="dxa"/>
            <w:tcBorders>
              <w:left w:val="single" w:sz="4" w:space="0" w:color="auto"/>
              <w:right w:val="single" w:sz="4" w:space="0" w:color="auto"/>
            </w:tcBorders>
          </w:tcPr>
          <w:p w14:paraId="18313450" w14:textId="04ACED5F" w:rsidR="00A20758" w:rsidRPr="00762BBD" w:rsidRDefault="009370D2">
            <w:pPr>
              <w:autoSpaceDE w:val="0"/>
              <w:autoSpaceDN w:val="0"/>
              <w:adjustRightInd w:val="0"/>
              <w:snapToGrid w:val="0"/>
              <w:cnfStyle w:val="000000000000" w:firstRow="0" w:lastRow="0" w:firstColumn="0" w:lastColumn="0" w:oddVBand="0" w:evenVBand="0" w:oddHBand="0" w:evenHBand="0" w:firstRowFirstColumn="0" w:firstRowLastColumn="0" w:lastRowFirstColumn="0" w:lastRowLastColumn="0"/>
              <w:rPr>
                <w:color w:val="000000"/>
                <w:lang w:val="x-none"/>
              </w:rPr>
            </w:pPr>
            <w:r w:rsidRPr="009370D2">
              <w:rPr>
                <w:color w:val="000000"/>
              </w:rPr>
              <w:t>Moribund, fatal processes progressing rapidly</w:t>
            </w:r>
          </w:p>
        </w:tc>
      </w:tr>
      <w:tr w:rsidR="00A20758" w:rsidRPr="00762BBD" w14:paraId="425E1D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dxa"/>
            <w:tcBorders>
              <w:left w:val="single" w:sz="4" w:space="0" w:color="auto"/>
              <w:bottom w:val="single" w:sz="4" w:space="0" w:color="auto"/>
              <w:right w:val="single" w:sz="4" w:space="0" w:color="auto"/>
            </w:tcBorders>
          </w:tcPr>
          <w:p w14:paraId="0F50CBAA" w14:textId="375EDA74" w:rsidR="00A20758" w:rsidRDefault="00A20758">
            <w:pPr>
              <w:jc w:val="center"/>
            </w:pPr>
            <w:r>
              <w:t>0</w:t>
            </w:r>
          </w:p>
        </w:tc>
        <w:tc>
          <w:tcPr>
            <w:tcW w:w="7458" w:type="dxa"/>
            <w:tcBorders>
              <w:left w:val="single" w:sz="4" w:space="0" w:color="auto"/>
              <w:bottom w:val="single" w:sz="4" w:space="0" w:color="auto"/>
              <w:right w:val="single" w:sz="4" w:space="0" w:color="auto"/>
            </w:tcBorders>
          </w:tcPr>
          <w:p w14:paraId="29A1E1BF" w14:textId="7C9C203C" w:rsidR="00A20758" w:rsidRPr="00FA140A" w:rsidRDefault="00A20758">
            <w:pPr>
              <w:autoSpaceDE w:val="0"/>
              <w:autoSpaceDN w:val="0"/>
              <w:adjustRightInd w:val="0"/>
              <w:snapToGrid w:val="0"/>
              <w:cnfStyle w:val="000000100000" w:firstRow="0" w:lastRow="0" w:firstColumn="0" w:lastColumn="0" w:oddVBand="0" w:evenVBand="0" w:oddHBand="1" w:evenHBand="0" w:firstRowFirstColumn="0" w:firstRowLastColumn="0" w:lastRowFirstColumn="0" w:lastRowLastColumn="0"/>
              <w:rPr>
                <w:color w:val="000000"/>
              </w:rPr>
            </w:pPr>
            <w:r>
              <w:rPr>
                <w:color w:val="000000"/>
              </w:rPr>
              <w:t>Dead</w:t>
            </w:r>
          </w:p>
        </w:tc>
      </w:tr>
    </w:tbl>
    <w:p w14:paraId="412AE53B" w14:textId="77777777" w:rsidR="00561023" w:rsidRDefault="00561023" w:rsidP="00FA140A"/>
    <w:tbl>
      <w:tblPr>
        <w:tblStyle w:val="ListTable3-Accent1"/>
        <w:tblpPr w:leftFromText="180" w:rightFromText="180" w:vertAnchor="text" w:horzAnchor="margin" w:tblpX="-20" w:tblpY="262"/>
        <w:tblW w:w="9360" w:type="dxa"/>
        <w:tblBorders>
          <w:top w:val="single" w:sz="12" w:space="0" w:color="auto"/>
          <w:left w:val="single" w:sz="12" w:space="0" w:color="auto"/>
          <w:bottom w:val="single" w:sz="12" w:space="0" w:color="auto"/>
          <w:right w:val="single" w:sz="12" w:space="0" w:color="auto"/>
          <w:insideH w:val="single" w:sz="4" w:space="0" w:color="4F81BD" w:themeColor="accent1"/>
        </w:tblBorders>
        <w:tblLook w:val="04A0" w:firstRow="1" w:lastRow="0" w:firstColumn="1" w:lastColumn="0" w:noHBand="0" w:noVBand="1"/>
      </w:tblPr>
      <w:tblGrid>
        <w:gridCol w:w="1902"/>
        <w:gridCol w:w="7458"/>
      </w:tblGrid>
      <w:tr w:rsidR="00C142A3" w:rsidRPr="00762BBD" w14:paraId="7632C8C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60" w:type="dxa"/>
            <w:gridSpan w:val="2"/>
            <w:tcBorders>
              <w:top w:val="single" w:sz="4" w:space="0" w:color="auto"/>
              <w:left w:val="single" w:sz="4" w:space="0" w:color="auto"/>
              <w:bottom w:val="single" w:sz="4" w:space="0" w:color="4F81BD" w:themeColor="accent1"/>
              <w:right w:val="single" w:sz="4" w:space="0" w:color="auto"/>
            </w:tcBorders>
            <w:shd w:val="clear" w:color="auto" w:fill="00548C"/>
          </w:tcPr>
          <w:p w14:paraId="475DD7F6" w14:textId="38BAE798" w:rsidR="00C142A3" w:rsidRPr="000F026B" w:rsidRDefault="00C142A3">
            <w:pPr>
              <w:jc w:val="center"/>
            </w:pPr>
            <w:r w:rsidRPr="00FB0BA6">
              <w:lastRenderedPageBreak/>
              <w:t xml:space="preserve">Table 2: </w:t>
            </w:r>
            <w:r w:rsidR="000F026B" w:rsidRPr="00FB0BA6">
              <w:t xml:space="preserve"> Eastern Cooperative Oncology Group </w:t>
            </w:r>
            <w:r w:rsidR="000F026B">
              <w:t>(</w:t>
            </w:r>
            <w:r w:rsidR="000949C2">
              <w:t>ECOG</w:t>
            </w:r>
            <w:r w:rsidR="000F026B">
              <w:t>)</w:t>
            </w:r>
            <w:r w:rsidR="000949C2">
              <w:t xml:space="preserve"> Performance Status Scale</w:t>
            </w:r>
          </w:p>
        </w:tc>
      </w:tr>
      <w:tr w:rsidR="00C142A3" w:rsidRPr="00D145B9" w14:paraId="7784451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02" w:type="dxa"/>
            <w:tcBorders>
              <w:top w:val="single" w:sz="4" w:space="0" w:color="4F81BD" w:themeColor="accent1"/>
              <w:left w:val="single" w:sz="4" w:space="0" w:color="auto"/>
              <w:bottom w:val="single" w:sz="4" w:space="0" w:color="4F81BD" w:themeColor="accent1"/>
            </w:tcBorders>
            <w:shd w:val="clear" w:color="auto" w:fill="00548C"/>
          </w:tcPr>
          <w:p w14:paraId="154CDD39" w14:textId="24DA3FB6" w:rsidR="00C142A3" w:rsidRPr="00D145B9" w:rsidRDefault="000949C2">
            <w:pPr>
              <w:jc w:val="center"/>
            </w:pPr>
            <w:r>
              <w:t>Grade</w:t>
            </w:r>
          </w:p>
        </w:tc>
        <w:tc>
          <w:tcPr>
            <w:tcW w:w="7458" w:type="dxa"/>
            <w:tcBorders>
              <w:top w:val="single" w:sz="4" w:space="0" w:color="4F81BD" w:themeColor="accent1"/>
              <w:left w:val="nil"/>
              <w:bottom w:val="single" w:sz="4" w:space="0" w:color="4F81BD" w:themeColor="accent1"/>
              <w:right w:val="single" w:sz="4" w:space="0" w:color="auto"/>
            </w:tcBorders>
            <w:shd w:val="clear" w:color="auto" w:fill="00548C"/>
          </w:tcPr>
          <w:p w14:paraId="40CF9B44" w14:textId="4A79595D" w:rsidR="00C142A3" w:rsidRPr="00D145B9" w:rsidRDefault="007405C6">
            <w:pPr>
              <w:jc w:val="center"/>
              <w:cnfStyle w:val="100000000000" w:firstRow="1" w:lastRow="0" w:firstColumn="0" w:lastColumn="0" w:oddVBand="0" w:evenVBand="0" w:oddHBand="0" w:evenHBand="0" w:firstRowFirstColumn="0" w:firstRowLastColumn="0" w:lastRowFirstColumn="0" w:lastRowLastColumn="0"/>
            </w:pPr>
            <w:r>
              <w:t>Performance Status</w:t>
            </w:r>
          </w:p>
        </w:tc>
      </w:tr>
      <w:tr w:rsidR="00C142A3" w:rsidRPr="00544505" w14:paraId="5EE9EB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dxa"/>
            <w:tcBorders>
              <w:left w:val="single" w:sz="4" w:space="0" w:color="auto"/>
              <w:right w:val="single" w:sz="4" w:space="0" w:color="auto"/>
            </w:tcBorders>
          </w:tcPr>
          <w:p w14:paraId="285B3E7A" w14:textId="28AC6976" w:rsidR="00C142A3" w:rsidRPr="00762BBD" w:rsidRDefault="00C142A3">
            <w:pPr>
              <w:jc w:val="center"/>
            </w:pPr>
            <w:r>
              <w:t>0</w:t>
            </w:r>
          </w:p>
        </w:tc>
        <w:tc>
          <w:tcPr>
            <w:tcW w:w="7458" w:type="dxa"/>
            <w:tcBorders>
              <w:left w:val="single" w:sz="4" w:space="0" w:color="auto"/>
              <w:right w:val="single" w:sz="4" w:space="0" w:color="auto"/>
            </w:tcBorders>
          </w:tcPr>
          <w:p w14:paraId="4F788DEF" w14:textId="5C8AC4E4" w:rsidR="00C142A3" w:rsidRPr="00544505" w:rsidRDefault="0075605D">
            <w:pPr>
              <w:autoSpaceDE w:val="0"/>
              <w:autoSpaceDN w:val="0"/>
              <w:adjustRightInd w:val="0"/>
              <w:snapToGrid w:val="0"/>
              <w:cnfStyle w:val="000000100000" w:firstRow="0" w:lastRow="0" w:firstColumn="0" w:lastColumn="0" w:oddVBand="0" w:evenVBand="0" w:oddHBand="1" w:evenHBand="0" w:firstRowFirstColumn="0" w:firstRowLastColumn="0" w:lastRowFirstColumn="0" w:lastRowLastColumn="0"/>
            </w:pPr>
            <w:r w:rsidRPr="0075605D">
              <w:t>Fully active, able to carry on all pre-disease performance without restriction.</w:t>
            </w:r>
          </w:p>
        </w:tc>
      </w:tr>
      <w:tr w:rsidR="00C142A3" w:rsidRPr="00544505" w14:paraId="6F37A405" w14:textId="77777777">
        <w:tc>
          <w:tcPr>
            <w:cnfStyle w:val="001000000000" w:firstRow="0" w:lastRow="0" w:firstColumn="1" w:lastColumn="0" w:oddVBand="0" w:evenVBand="0" w:oddHBand="0" w:evenHBand="0" w:firstRowFirstColumn="0" w:firstRowLastColumn="0" w:lastRowFirstColumn="0" w:lastRowLastColumn="0"/>
            <w:tcW w:w="1902" w:type="dxa"/>
            <w:tcBorders>
              <w:left w:val="single" w:sz="4" w:space="0" w:color="auto"/>
              <w:right w:val="single" w:sz="4" w:space="0" w:color="auto"/>
            </w:tcBorders>
          </w:tcPr>
          <w:p w14:paraId="4F091455" w14:textId="6DE96BD1" w:rsidR="00C142A3" w:rsidRPr="00762BBD" w:rsidRDefault="000949C2">
            <w:pPr>
              <w:jc w:val="center"/>
            </w:pPr>
            <w:r>
              <w:t>1</w:t>
            </w:r>
          </w:p>
        </w:tc>
        <w:tc>
          <w:tcPr>
            <w:tcW w:w="7458" w:type="dxa"/>
            <w:tcBorders>
              <w:left w:val="single" w:sz="4" w:space="0" w:color="auto"/>
              <w:right w:val="single" w:sz="4" w:space="0" w:color="auto"/>
            </w:tcBorders>
          </w:tcPr>
          <w:p w14:paraId="2A5DE56F" w14:textId="750EBE58" w:rsidR="00C142A3" w:rsidRPr="00544505" w:rsidRDefault="0075605D">
            <w:pPr>
              <w:autoSpaceDE w:val="0"/>
              <w:autoSpaceDN w:val="0"/>
              <w:adjustRightInd w:val="0"/>
              <w:snapToGrid w:val="0"/>
              <w:cnfStyle w:val="000000000000" w:firstRow="0" w:lastRow="0" w:firstColumn="0" w:lastColumn="0" w:oddVBand="0" w:evenVBand="0" w:oddHBand="0" w:evenHBand="0" w:firstRowFirstColumn="0" w:firstRowLastColumn="0" w:lastRowFirstColumn="0" w:lastRowLastColumn="0"/>
            </w:pPr>
            <w:r w:rsidRPr="0075605D">
              <w:t>Restricted in physically strenuous activity but ambulatory and able to carry out work of a light or sedentary nature, e.g. light house work, office work.</w:t>
            </w:r>
          </w:p>
        </w:tc>
      </w:tr>
      <w:tr w:rsidR="00C142A3" w:rsidRPr="00762BBD" w14:paraId="20CC34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dxa"/>
            <w:tcBorders>
              <w:left w:val="single" w:sz="4" w:space="0" w:color="auto"/>
              <w:right w:val="single" w:sz="4" w:space="0" w:color="auto"/>
            </w:tcBorders>
          </w:tcPr>
          <w:p w14:paraId="449C45B5" w14:textId="48160094" w:rsidR="00C142A3" w:rsidRPr="00762BBD" w:rsidRDefault="000949C2">
            <w:pPr>
              <w:jc w:val="center"/>
            </w:pPr>
            <w:r>
              <w:t>2</w:t>
            </w:r>
          </w:p>
        </w:tc>
        <w:tc>
          <w:tcPr>
            <w:tcW w:w="7458" w:type="dxa"/>
            <w:tcBorders>
              <w:left w:val="single" w:sz="4" w:space="0" w:color="auto"/>
              <w:right w:val="single" w:sz="4" w:space="0" w:color="auto"/>
            </w:tcBorders>
          </w:tcPr>
          <w:p w14:paraId="3A2B0E31" w14:textId="670397E2" w:rsidR="00C142A3" w:rsidRPr="00762BBD" w:rsidRDefault="0075605D">
            <w:pPr>
              <w:autoSpaceDE w:val="0"/>
              <w:autoSpaceDN w:val="0"/>
              <w:adjustRightInd w:val="0"/>
              <w:snapToGrid w:val="0"/>
              <w:cnfStyle w:val="000000100000" w:firstRow="0" w:lastRow="0" w:firstColumn="0" w:lastColumn="0" w:oddVBand="0" w:evenVBand="0" w:oddHBand="1" w:evenHBand="0" w:firstRowFirstColumn="0" w:firstRowLastColumn="0" w:lastRowFirstColumn="0" w:lastRowLastColumn="0"/>
            </w:pPr>
            <w:r w:rsidRPr="0075605D">
              <w:t>Ambulatory and capable of all self-care but unable to carry out and work activities. Up and about more than 50% of waking hours.</w:t>
            </w:r>
          </w:p>
        </w:tc>
      </w:tr>
      <w:tr w:rsidR="00C142A3" w:rsidRPr="00762BBD" w14:paraId="0BE37E82" w14:textId="77777777">
        <w:tc>
          <w:tcPr>
            <w:cnfStyle w:val="001000000000" w:firstRow="0" w:lastRow="0" w:firstColumn="1" w:lastColumn="0" w:oddVBand="0" w:evenVBand="0" w:oddHBand="0" w:evenHBand="0" w:firstRowFirstColumn="0" w:firstRowLastColumn="0" w:lastRowFirstColumn="0" w:lastRowLastColumn="0"/>
            <w:tcW w:w="1902" w:type="dxa"/>
            <w:tcBorders>
              <w:left w:val="single" w:sz="4" w:space="0" w:color="auto"/>
              <w:right w:val="single" w:sz="4" w:space="0" w:color="auto"/>
            </w:tcBorders>
          </w:tcPr>
          <w:p w14:paraId="550DF0F8" w14:textId="2CD1D5D0" w:rsidR="00C142A3" w:rsidRPr="00762BBD" w:rsidRDefault="000949C2">
            <w:pPr>
              <w:jc w:val="center"/>
            </w:pPr>
            <w:r>
              <w:t>3</w:t>
            </w:r>
          </w:p>
        </w:tc>
        <w:tc>
          <w:tcPr>
            <w:tcW w:w="7458" w:type="dxa"/>
            <w:tcBorders>
              <w:left w:val="single" w:sz="4" w:space="0" w:color="auto"/>
              <w:right w:val="single" w:sz="4" w:space="0" w:color="auto"/>
            </w:tcBorders>
          </w:tcPr>
          <w:p w14:paraId="12E23A4E" w14:textId="544F1A85" w:rsidR="00C142A3" w:rsidRPr="00762BBD" w:rsidRDefault="00BC7E3C">
            <w:pPr>
              <w:autoSpaceDE w:val="0"/>
              <w:autoSpaceDN w:val="0"/>
              <w:adjustRightInd w:val="0"/>
              <w:snapToGrid w:val="0"/>
              <w:cnfStyle w:val="000000000000" w:firstRow="0" w:lastRow="0" w:firstColumn="0" w:lastColumn="0" w:oddVBand="0" w:evenVBand="0" w:oddHBand="0" w:evenHBand="0" w:firstRowFirstColumn="0" w:firstRowLastColumn="0" w:lastRowFirstColumn="0" w:lastRowLastColumn="0"/>
            </w:pPr>
            <w:r w:rsidRPr="00BC7E3C">
              <w:t>Capable of only limited self-care, confined to bed or chair more than 50% of waking hours.</w:t>
            </w:r>
          </w:p>
        </w:tc>
      </w:tr>
      <w:tr w:rsidR="00C142A3" w:rsidRPr="00762BBD" w14:paraId="1EAD60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dxa"/>
            <w:tcBorders>
              <w:left w:val="single" w:sz="4" w:space="0" w:color="auto"/>
              <w:right w:val="single" w:sz="4" w:space="0" w:color="auto"/>
            </w:tcBorders>
          </w:tcPr>
          <w:p w14:paraId="3178EF3C" w14:textId="5B3DDC7E" w:rsidR="00C142A3" w:rsidRPr="00762BBD" w:rsidRDefault="000949C2">
            <w:pPr>
              <w:jc w:val="center"/>
            </w:pPr>
            <w:r>
              <w:t>4</w:t>
            </w:r>
          </w:p>
        </w:tc>
        <w:tc>
          <w:tcPr>
            <w:tcW w:w="7458" w:type="dxa"/>
            <w:tcBorders>
              <w:left w:val="single" w:sz="4" w:space="0" w:color="auto"/>
              <w:right w:val="single" w:sz="4" w:space="0" w:color="auto"/>
            </w:tcBorders>
          </w:tcPr>
          <w:p w14:paraId="077E9882" w14:textId="79CBC510" w:rsidR="00C142A3" w:rsidRPr="00762BBD" w:rsidRDefault="00BC7E3C">
            <w:pPr>
              <w:autoSpaceDE w:val="0"/>
              <w:autoSpaceDN w:val="0"/>
              <w:adjustRightInd w:val="0"/>
              <w:snapToGrid w:val="0"/>
              <w:cnfStyle w:val="000000100000" w:firstRow="0" w:lastRow="0" w:firstColumn="0" w:lastColumn="0" w:oddVBand="0" w:evenVBand="0" w:oddHBand="1" w:evenHBand="0" w:firstRowFirstColumn="0" w:firstRowLastColumn="0" w:lastRowFirstColumn="0" w:lastRowLastColumn="0"/>
              <w:rPr>
                <w:color w:val="000000"/>
                <w:lang w:val="x-none"/>
              </w:rPr>
            </w:pPr>
            <w:r w:rsidRPr="00BC7E3C">
              <w:rPr>
                <w:color w:val="000000"/>
              </w:rPr>
              <w:t>Completely disabled. Cannot carry on any self-care. Totally confined to bed or chair.</w:t>
            </w:r>
          </w:p>
        </w:tc>
      </w:tr>
      <w:tr w:rsidR="00C142A3" w:rsidRPr="00762BBD" w14:paraId="5F399BA0" w14:textId="77777777">
        <w:tc>
          <w:tcPr>
            <w:cnfStyle w:val="001000000000" w:firstRow="0" w:lastRow="0" w:firstColumn="1" w:lastColumn="0" w:oddVBand="0" w:evenVBand="0" w:oddHBand="0" w:evenHBand="0" w:firstRowFirstColumn="0" w:firstRowLastColumn="0" w:lastRowFirstColumn="0" w:lastRowLastColumn="0"/>
            <w:tcW w:w="1902" w:type="dxa"/>
            <w:tcBorders>
              <w:left w:val="single" w:sz="4" w:space="0" w:color="auto"/>
              <w:right w:val="single" w:sz="4" w:space="0" w:color="auto"/>
            </w:tcBorders>
          </w:tcPr>
          <w:p w14:paraId="7C4FC44F" w14:textId="2CE332A7" w:rsidR="00C142A3" w:rsidRPr="00762BBD" w:rsidRDefault="00C142A3">
            <w:pPr>
              <w:jc w:val="center"/>
            </w:pPr>
            <w:r>
              <w:t>5</w:t>
            </w:r>
          </w:p>
        </w:tc>
        <w:tc>
          <w:tcPr>
            <w:tcW w:w="7458" w:type="dxa"/>
            <w:tcBorders>
              <w:left w:val="single" w:sz="4" w:space="0" w:color="auto"/>
              <w:right w:val="single" w:sz="4" w:space="0" w:color="auto"/>
            </w:tcBorders>
          </w:tcPr>
          <w:p w14:paraId="1B2B17B8" w14:textId="6B0FAB00" w:rsidR="00C142A3" w:rsidRPr="00FA140A" w:rsidRDefault="00BC7E3C">
            <w:pPr>
              <w:autoSpaceDE w:val="0"/>
              <w:autoSpaceDN w:val="0"/>
              <w:adjustRightInd w:val="0"/>
              <w:snapToGrid w:val="0"/>
              <w:cnfStyle w:val="000000000000" w:firstRow="0" w:lastRow="0" w:firstColumn="0" w:lastColumn="0" w:oddVBand="0" w:evenVBand="0" w:oddHBand="0" w:evenHBand="0" w:firstRowFirstColumn="0" w:firstRowLastColumn="0" w:lastRowFirstColumn="0" w:lastRowLastColumn="0"/>
              <w:rPr>
                <w:color w:val="000000"/>
              </w:rPr>
            </w:pPr>
            <w:r>
              <w:rPr>
                <w:color w:val="000000"/>
              </w:rPr>
              <w:t>Dead</w:t>
            </w:r>
          </w:p>
        </w:tc>
      </w:tr>
    </w:tbl>
    <w:p w14:paraId="4AC5D2A4" w14:textId="77777777" w:rsidR="00FB139B" w:rsidRDefault="00FB139B" w:rsidP="003840CC">
      <w:pPr>
        <w:rPr>
          <w:bCs/>
          <w:color w:val="000000"/>
        </w:rPr>
      </w:pPr>
    </w:p>
    <w:p w14:paraId="222EA9EF" w14:textId="77777777" w:rsidR="00FB0592" w:rsidRDefault="00FB0592" w:rsidP="00FB0592">
      <w:pPr>
        <w:pStyle w:val="Heading2"/>
        <w:rPr>
          <w:u w:val="none"/>
        </w:rPr>
      </w:pPr>
      <w:r w:rsidRPr="00B777AF">
        <w:rPr>
          <w:u w:val="none"/>
        </w:rPr>
        <w:t>Background</w:t>
      </w:r>
    </w:p>
    <w:p w14:paraId="708D9BF1" w14:textId="681CFE9A" w:rsidR="002E01EE" w:rsidRPr="00FA140A" w:rsidRDefault="002E01EE" w:rsidP="002E01EE">
      <w:pPr>
        <w:rPr>
          <w:vertAlign w:val="superscript"/>
        </w:rPr>
      </w:pPr>
      <w:r>
        <w:rPr>
          <w:i/>
        </w:rPr>
        <w:t>Centers for Medicare and Medicaid (CMS)</w:t>
      </w:r>
      <w:r w:rsidR="00FA140A">
        <w:rPr>
          <w:i/>
          <w:vertAlign w:val="superscript"/>
        </w:rPr>
        <w:t>1</w:t>
      </w:r>
    </w:p>
    <w:p w14:paraId="0D2088AA" w14:textId="5875D1C0" w:rsidR="002E01EE" w:rsidRPr="002E01EE" w:rsidRDefault="002E01EE" w:rsidP="002E01EE">
      <w:r w:rsidRPr="002E01EE">
        <w:t xml:space="preserve">Stereotactic Radiosurgery (SRS) and Stereotactic Body Radiation Therapy (SBRT) are methods of delivering ionizing radiation using highly focused convergent beams to target a lesion while limiting exposure </w:t>
      </w:r>
      <w:r w:rsidR="000A7C1C">
        <w:t>to</w:t>
      </w:r>
      <w:r w:rsidR="000A7C1C" w:rsidRPr="002E01EE">
        <w:t xml:space="preserve"> </w:t>
      </w:r>
      <w:r w:rsidRPr="002E01EE">
        <w:t>adjacent structures.</w:t>
      </w:r>
    </w:p>
    <w:p w14:paraId="34279E27" w14:textId="77777777" w:rsidR="002E01EE" w:rsidRPr="002E01EE" w:rsidRDefault="002E01EE" w:rsidP="002E01EE"/>
    <w:p w14:paraId="6EEB0114" w14:textId="4A237CFF" w:rsidR="002E01EE" w:rsidRPr="002E01EE" w:rsidRDefault="002E01EE" w:rsidP="002E01EE">
      <w:r w:rsidRPr="002E01EE">
        <w:t xml:space="preserve">“Stereotactic” describes target lesion localization relative to a known </w:t>
      </w:r>
      <w:r w:rsidR="00DF7BCF" w:rsidRPr="002E01EE">
        <w:t>three-dimensional</w:t>
      </w:r>
      <w:r w:rsidRPr="002E01EE">
        <w:t xml:space="preserve"> reference system that allows for a high degree of anatomic accuracy and precision. Devices used for stereotactic guidance may include a body frame with external reference markers in which a patient is positioned securely, a system of implanted fiducial markers that can be visualized with low-energy (kV) x-rays, and CT-imaging-based systems used to confirm the location of a tumor immediately prior to treatment.</w:t>
      </w:r>
    </w:p>
    <w:p w14:paraId="48953DF9" w14:textId="77777777" w:rsidR="002E01EE" w:rsidRPr="002E01EE" w:rsidRDefault="002E01EE" w:rsidP="002E01EE"/>
    <w:p w14:paraId="20774DE7" w14:textId="72C495E6" w:rsidR="002E01EE" w:rsidRPr="002E01EE" w:rsidRDefault="002E01EE" w:rsidP="002E01EE">
      <w:r w:rsidRPr="002E01EE">
        <w:t xml:space="preserve">SBRT is used to treat extra-cranial sites as opposed to stereotactic radiosurgery (SRS) which is used to treat intra-cranial and spinal targets. Treatment of extra-cranial sites excluding the spinal cord and related spinal structures requires accounting for internal organ motion as well as for patient motion. Thus, reliable immobilization or repositioning systems must often be combined with devices capable of decreasing organ motion or accounting for organ motion </w:t>
      </w:r>
      <w:r w:rsidR="004136B6">
        <w:t>(</w:t>
      </w:r>
      <w:r w:rsidRPr="002E01EE">
        <w:t>e.g. respiratory gating</w:t>
      </w:r>
      <w:r w:rsidR="004136B6">
        <w:t>)</w:t>
      </w:r>
      <w:r w:rsidRPr="002E01EE">
        <w:t>. Additionally, all SBRT is performed with at least one form of image guidance to confirm proper patient positioning and tumor localization prior to delivery of each fraction.</w:t>
      </w:r>
    </w:p>
    <w:p w14:paraId="1BF46598" w14:textId="77777777" w:rsidR="002E01EE" w:rsidRPr="002E01EE" w:rsidRDefault="002E01EE" w:rsidP="002E01EE"/>
    <w:p w14:paraId="03D0BF7F" w14:textId="3C85F46D" w:rsidR="002E01EE" w:rsidRPr="002E01EE" w:rsidRDefault="002E01EE" w:rsidP="002E01EE">
      <w:r w:rsidRPr="002E01EE">
        <w:t>SBRT is only indicated as primary treatment for tumor types or locations where the available published literature supports an outcome advantage over other conventional radiation modalities.</w:t>
      </w:r>
      <w:r w:rsidR="006141A7">
        <w:t xml:space="preserve"> It </w:t>
      </w:r>
      <w:r w:rsidRPr="002E01EE">
        <w:t>may be delivered in one to five sessions (fractions). Each fraction requires an identical degree of precision, localization and image guidance.</w:t>
      </w:r>
      <w:r w:rsidR="006141A7">
        <w:t xml:space="preserve"> </w:t>
      </w:r>
      <w:r w:rsidRPr="002E01EE">
        <w:t>SRS is typically performed in a single session, using a rigidly attached stereotactic guiding device, other immobilization technology and/or a stereotactic-guidance system.</w:t>
      </w:r>
    </w:p>
    <w:p w14:paraId="5CFC4F71" w14:textId="77777777" w:rsidR="002E01EE" w:rsidRPr="002E01EE" w:rsidRDefault="002E01EE" w:rsidP="002E01EE"/>
    <w:p w14:paraId="56808E65" w14:textId="77777777" w:rsidR="002E01EE" w:rsidRPr="002E01EE" w:rsidRDefault="002E01EE" w:rsidP="002E01EE">
      <w:r w:rsidRPr="002E01EE">
        <w:t>SRS/SBRT procedures include the following components:</w:t>
      </w:r>
    </w:p>
    <w:p w14:paraId="653951E2" w14:textId="77777777" w:rsidR="002E01EE" w:rsidRPr="002E01EE" w:rsidRDefault="002E01EE" w:rsidP="00DF7BCF">
      <w:pPr>
        <w:pStyle w:val="ListParagraph"/>
        <w:numPr>
          <w:ilvl w:val="0"/>
          <w:numId w:val="29"/>
        </w:numPr>
      </w:pPr>
      <w:r w:rsidRPr="002E01EE">
        <w:t>Planning</w:t>
      </w:r>
    </w:p>
    <w:p w14:paraId="63072922" w14:textId="77777777" w:rsidR="002E01EE" w:rsidRPr="002E01EE" w:rsidRDefault="002E01EE" w:rsidP="00DF7BCF">
      <w:pPr>
        <w:pStyle w:val="ListParagraph"/>
        <w:numPr>
          <w:ilvl w:val="0"/>
          <w:numId w:val="29"/>
        </w:numPr>
      </w:pPr>
      <w:r w:rsidRPr="002E01EE">
        <w:lastRenderedPageBreak/>
        <w:t>Position stabilization (attachment of a frame or frameless)</w:t>
      </w:r>
    </w:p>
    <w:p w14:paraId="24C1FBFB" w14:textId="77777777" w:rsidR="002E01EE" w:rsidRPr="002E01EE" w:rsidRDefault="002E01EE" w:rsidP="00DF7BCF">
      <w:pPr>
        <w:pStyle w:val="ListParagraph"/>
        <w:numPr>
          <w:ilvl w:val="0"/>
          <w:numId w:val="29"/>
        </w:numPr>
      </w:pPr>
      <w:r w:rsidRPr="002E01EE">
        <w:t>Imaging for localization (CT, MRI, angiography, PET, etc.)</w:t>
      </w:r>
    </w:p>
    <w:p w14:paraId="40ECA4F9" w14:textId="77777777" w:rsidR="002E01EE" w:rsidRPr="002E01EE" w:rsidRDefault="002E01EE" w:rsidP="00DF7BCF">
      <w:pPr>
        <w:pStyle w:val="ListParagraph"/>
        <w:numPr>
          <w:ilvl w:val="0"/>
          <w:numId w:val="29"/>
        </w:numPr>
      </w:pPr>
      <w:r w:rsidRPr="002E01EE">
        <w:t>Computer assisted tumor localization (i.e. “Image Guidance”)</w:t>
      </w:r>
    </w:p>
    <w:p w14:paraId="5181C7A9" w14:textId="77777777" w:rsidR="002E01EE" w:rsidRPr="002E01EE" w:rsidRDefault="002E01EE" w:rsidP="00DF7BCF">
      <w:pPr>
        <w:pStyle w:val="ListParagraph"/>
        <w:numPr>
          <w:ilvl w:val="0"/>
          <w:numId w:val="29"/>
        </w:numPr>
      </w:pPr>
      <w:r w:rsidRPr="002E01EE">
        <w:t>Treatment planning – number of isocenters, number, placement and length of arcs or angles, number of beams, beam size and weight, etc.</w:t>
      </w:r>
    </w:p>
    <w:p w14:paraId="7AD58B1D" w14:textId="77777777" w:rsidR="002E01EE" w:rsidRPr="002E01EE" w:rsidRDefault="002E01EE" w:rsidP="00DF7BCF">
      <w:pPr>
        <w:pStyle w:val="ListParagraph"/>
        <w:numPr>
          <w:ilvl w:val="0"/>
          <w:numId w:val="29"/>
        </w:numPr>
      </w:pPr>
      <w:r w:rsidRPr="002E01EE">
        <w:t>Isodose distributions, dosage prescription and calculation</w:t>
      </w:r>
    </w:p>
    <w:p w14:paraId="6D46C6E0" w14:textId="77777777" w:rsidR="002E01EE" w:rsidRPr="002E01EE" w:rsidRDefault="002E01EE" w:rsidP="00DF7BCF">
      <w:pPr>
        <w:pStyle w:val="ListParagraph"/>
        <w:numPr>
          <w:ilvl w:val="0"/>
          <w:numId w:val="29"/>
        </w:numPr>
      </w:pPr>
      <w:r w:rsidRPr="002E01EE">
        <w:t>Setup and accuracy verification testing</w:t>
      </w:r>
    </w:p>
    <w:p w14:paraId="4F487C94" w14:textId="77777777" w:rsidR="002E01EE" w:rsidRPr="002E01EE" w:rsidRDefault="002E01EE" w:rsidP="00DF7BCF">
      <w:pPr>
        <w:pStyle w:val="ListParagraph"/>
        <w:numPr>
          <w:ilvl w:val="0"/>
          <w:numId w:val="29"/>
        </w:numPr>
      </w:pPr>
      <w:r w:rsidRPr="002E01EE">
        <w:t>Simulation of prescribed arcs or fixed portals</w:t>
      </w:r>
    </w:p>
    <w:p w14:paraId="103F1A92" w14:textId="7187DFE9" w:rsidR="003F3D44" w:rsidRPr="00B777AF" w:rsidRDefault="002E01EE" w:rsidP="00DF7BCF">
      <w:pPr>
        <w:pStyle w:val="ListParagraph"/>
        <w:numPr>
          <w:ilvl w:val="0"/>
          <w:numId w:val="29"/>
        </w:numPr>
      </w:pPr>
      <w:r w:rsidRPr="002E01EE">
        <w:t>Radiation treatment delivery</w:t>
      </w:r>
    </w:p>
    <w:p w14:paraId="5FEB0444" w14:textId="3184D470" w:rsidR="009D5928" w:rsidRPr="000465DE" w:rsidRDefault="009D5928">
      <w:pPr>
        <w:rPr>
          <w:b/>
          <w:bCs/>
        </w:rPr>
      </w:pPr>
    </w:p>
    <w:p w14:paraId="560F8B81" w14:textId="77777777" w:rsidR="00170B14" w:rsidRPr="00B777AF" w:rsidRDefault="00170B14" w:rsidP="00170B14">
      <w:pPr>
        <w:rPr>
          <w:b/>
        </w:rPr>
      </w:pPr>
      <w:bookmarkStart w:id="1" w:name="Coding_Implications"/>
      <w:r w:rsidRPr="00B777AF">
        <w:rPr>
          <w:b/>
        </w:rPr>
        <w:t>Coding Implications</w:t>
      </w:r>
    </w:p>
    <w:bookmarkEnd w:id="1"/>
    <w:p w14:paraId="2D67B5CC" w14:textId="62DDD91E" w:rsidR="00AF5490" w:rsidRDefault="00DD6ADB" w:rsidP="00AF5490">
      <w:r w:rsidRPr="00507DC0">
        <w:t xml:space="preserve">This </w:t>
      </w:r>
      <w:r>
        <w:t xml:space="preserve">clinical </w:t>
      </w:r>
      <w:r w:rsidRPr="00507DC0">
        <w:t>policy references Current Procedural Terminology (CPT</w:t>
      </w:r>
      <w:r w:rsidRPr="00DD6ADB">
        <w:rPr>
          <w:vertAlign w:val="superscript"/>
        </w:rPr>
        <w:t>®</w:t>
      </w:r>
      <w:r w:rsidRPr="00507DC0">
        <w:t>). CPT</w:t>
      </w:r>
      <w:r w:rsidRPr="00DD6ADB">
        <w:rPr>
          <w:vertAlign w:val="superscript"/>
        </w:rPr>
        <w:t>®</w:t>
      </w:r>
      <w:r w:rsidRPr="00507DC0">
        <w:t xml:space="preserve"> is a registered trademark of the Americ</w:t>
      </w:r>
      <w:r>
        <w:t>an Medical Association. All CPT</w:t>
      </w:r>
      <w:r w:rsidRPr="00507DC0">
        <w:t xml:space="preserve"> codes and descriptions are copyrighted </w:t>
      </w:r>
      <w:r w:rsidR="00172E90" w:rsidRPr="00507DC0">
        <w:t>20</w:t>
      </w:r>
      <w:r w:rsidR="00172E90">
        <w:t>23</w:t>
      </w:r>
      <w:r w:rsidRPr="00507DC0">
        <w:t>, American Medical Association. All rights reserved. CPT</w:t>
      </w:r>
      <w:r>
        <w:t xml:space="preserve"> codes and CPT</w:t>
      </w:r>
      <w:r w:rsidRPr="00507DC0">
        <w:t xml:space="preserve"> descriptions are from </w:t>
      </w:r>
      <w:r>
        <w:t xml:space="preserve">the </w:t>
      </w:r>
      <w:r w:rsidRPr="00507DC0">
        <w:t xml:space="preserve">current manuals and those included herein are not intended to be all-inclusive and are included for informational purposes only. </w:t>
      </w:r>
      <w:r w:rsidRPr="005E117C">
        <w:t>Codes</w:t>
      </w:r>
      <w:r>
        <w:t xml:space="preserve"> referenced in this c</w:t>
      </w:r>
      <w:r w:rsidRPr="005E117C">
        <w:t xml:space="preserve">linical </w:t>
      </w:r>
      <w:r>
        <w:t>p</w:t>
      </w:r>
      <w:r w:rsidRPr="005E117C">
        <w:t>olicy are for informational purposes only.  Inclusion or exclusion of any codes does not guarantee coverage.  Providers should reference the most up-to-date sources of professional coding guidance prior to the submission of claims for reimbursement of covered services.</w:t>
      </w:r>
    </w:p>
    <w:p w14:paraId="7EB61617" w14:textId="77777777" w:rsidR="00AF5490" w:rsidRPr="00A85489" w:rsidRDefault="00AF5490" w:rsidP="00AF5490"/>
    <w:tbl>
      <w:tblPr>
        <w:tblStyle w:val="TableGrid"/>
        <w:tblW w:w="4833" w:type="pct"/>
        <w:tblInd w:w="-113" w:type="dxa"/>
        <w:tblLook w:val="0020" w:firstRow="1" w:lastRow="0" w:firstColumn="0" w:lastColumn="0" w:noHBand="0" w:noVBand="0"/>
      </w:tblPr>
      <w:tblGrid>
        <w:gridCol w:w="843"/>
        <w:gridCol w:w="8195"/>
      </w:tblGrid>
      <w:tr w:rsidR="00B777AF" w:rsidRPr="00B777AF" w14:paraId="253A4660" w14:textId="77777777" w:rsidTr="00FE2079">
        <w:trPr>
          <w:tblHeader/>
        </w:trPr>
        <w:tc>
          <w:tcPr>
            <w:tcW w:w="844" w:type="dxa"/>
            <w:shd w:val="clear" w:color="auto" w:fill="00548C"/>
          </w:tcPr>
          <w:p w14:paraId="2A7A7F65" w14:textId="77777777" w:rsidR="00D36448" w:rsidRPr="00B777AF" w:rsidRDefault="00D36448">
            <w:pPr>
              <w:rPr>
                <w:b/>
                <w:bCs/>
                <w:color w:val="FFFFFF" w:themeColor="background1"/>
              </w:rPr>
            </w:pPr>
            <w:r w:rsidRPr="00B777AF">
              <w:rPr>
                <w:b/>
                <w:color w:val="FFFFFF" w:themeColor="background1"/>
              </w:rPr>
              <w:t>CPT</w:t>
            </w:r>
            <w:r w:rsidR="005D7B81">
              <w:rPr>
                <w:b/>
                <w:color w:val="FFFFFF" w:themeColor="background1"/>
                <w:vertAlign w:val="superscript"/>
              </w:rPr>
              <w:t>®</w:t>
            </w:r>
            <w:r w:rsidRPr="00B777AF">
              <w:rPr>
                <w:b/>
                <w:color w:val="FFFFFF" w:themeColor="background1"/>
              </w:rPr>
              <w:t xml:space="preserve"> Codes </w:t>
            </w:r>
          </w:p>
        </w:tc>
        <w:tc>
          <w:tcPr>
            <w:tcW w:w="8194" w:type="dxa"/>
            <w:shd w:val="clear" w:color="auto" w:fill="00548C"/>
          </w:tcPr>
          <w:p w14:paraId="38761617" w14:textId="77777777" w:rsidR="00D36448" w:rsidRPr="00B777AF" w:rsidRDefault="00D36448">
            <w:pPr>
              <w:rPr>
                <w:b/>
                <w:bCs/>
                <w:color w:val="FFFFFF" w:themeColor="background1"/>
              </w:rPr>
            </w:pPr>
            <w:r w:rsidRPr="00B777AF">
              <w:rPr>
                <w:b/>
                <w:color w:val="FFFFFF" w:themeColor="background1"/>
              </w:rPr>
              <w:t>Description</w:t>
            </w:r>
          </w:p>
        </w:tc>
      </w:tr>
      <w:tr w:rsidR="00FE2079" w:rsidRPr="000252BB" w14:paraId="04E1C513" w14:textId="77777777" w:rsidTr="008C587B">
        <w:tblPrEx>
          <w:tblLook w:val="04A0" w:firstRow="1" w:lastRow="0" w:firstColumn="1" w:lastColumn="0" w:noHBand="0" w:noVBand="1"/>
        </w:tblPrEx>
        <w:tc>
          <w:tcPr>
            <w:tcW w:w="0" w:type="auto"/>
          </w:tcPr>
          <w:p w14:paraId="5712D463" w14:textId="637B6A73" w:rsidR="00FE2079" w:rsidRPr="000252BB" w:rsidRDefault="00FE2079" w:rsidP="008C587B">
            <w:r>
              <w:t>61796</w:t>
            </w:r>
          </w:p>
        </w:tc>
        <w:tc>
          <w:tcPr>
            <w:tcW w:w="0" w:type="auto"/>
          </w:tcPr>
          <w:p w14:paraId="086AD108" w14:textId="008EBC09" w:rsidR="00FE2079" w:rsidRPr="000252BB" w:rsidRDefault="00FE2079" w:rsidP="00FE2079">
            <w:r>
              <w:t>Stereotactic radiosurgery (particle beam, gamma ray, or linear accelerator); 1 simple cranial lesion</w:t>
            </w:r>
          </w:p>
        </w:tc>
      </w:tr>
      <w:tr w:rsidR="00FE2079" w:rsidRPr="000252BB" w14:paraId="4FCCF091" w14:textId="77777777" w:rsidTr="008C587B">
        <w:tblPrEx>
          <w:tblLook w:val="04A0" w:firstRow="1" w:lastRow="0" w:firstColumn="1" w:lastColumn="0" w:noHBand="0" w:noVBand="1"/>
        </w:tblPrEx>
        <w:tc>
          <w:tcPr>
            <w:tcW w:w="0" w:type="auto"/>
          </w:tcPr>
          <w:p w14:paraId="5B1CF059" w14:textId="20310508" w:rsidR="00FE2079" w:rsidRPr="000252BB" w:rsidRDefault="00FE2079" w:rsidP="008C587B">
            <w:r>
              <w:t>61797</w:t>
            </w:r>
          </w:p>
        </w:tc>
        <w:tc>
          <w:tcPr>
            <w:tcW w:w="0" w:type="auto"/>
          </w:tcPr>
          <w:p w14:paraId="003D6EB6" w14:textId="4CDBD60C" w:rsidR="00FE2079" w:rsidRPr="000252BB" w:rsidRDefault="00FE2079" w:rsidP="00FE2079">
            <w:r>
              <w:t>Stereotactic radiosurgery (particle beam, gamma ray, or linear accelerator); each additional cranial lesion, simple (list separately in addition to code for primary procedure)</w:t>
            </w:r>
          </w:p>
        </w:tc>
      </w:tr>
      <w:tr w:rsidR="00FE2079" w:rsidRPr="000252BB" w14:paraId="55C6F170" w14:textId="77777777" w:rsidTr="008C587B">
        <w:tblPrEx>
          <w:tblLook w:val="04A0" w:firstRow="1" w:lastRow="0" w:firstColumn="1" w:lastColumn="0" w:noHBand="0" w:noVBand="1"/>
        </w:tblPrEx>
        <w:tc>
          <w:tcPr>
            <w:tcW w:w="0" w:type="auto"/>
          </w:tcPr>
          <w:p w14:paraId="47ACA360" w14:textId="64C4484B" w:rsidR="00FE2079" w:rsidRPr="000252BB" w:rsidRDefault="00FE2079" w:rsidP="008C587B">
            <w:r>
              <w:t>61798</w:t>
            </w:r>
          </w:p>
        </w:tc>
        <w:tc>
          <w:tcPr>
            <w:tcW w:w="0" w:type="auto"/>
          </w:tcPr>
          <w:p w14:paraId="45046C99" w14:textId="7B72DA0F" w:rsidR="00FE2079" w:rsidRPr="000252BB" w:rsidRDefault="00FE2079" w:rsidP="00FE2079">
            <w:r>
              <w:t>Stereotactic radiosurgery (particle beam, gamma ray, or linear accelerator); 1 complex cranial lesion</w:t>
            </w:r>
          </w:p>
        </w:tc>
      </w:tr>
      <w:tr w:rsidR="00FE2079" w:rsidRPr="000252BB" w14:paraId="379115C9" w14:textId="77777777" w:rsidTr="008C587B">
        <w:tblPrEx>
          <w:tblLook w:val="04A0" w:firstRow="1" w:lastRow="0" w:firstColumn="1" w:lastColumn="0" w:noHBand="0" w:noVBand="1"/>
        </w:tblPrEx>
        <w:tc>
          <w:tcPr>
            <w:tcW w:w="0" w:type="auto"/>
          </w:tcPr>
          <w:p w14:paraId="645220F9" w14:textId="62E59539" w:rsidR="00FE2079" w:rsidRPr="000252BB" w:rsidRDefault="00FE2079" w:rsidP="008C587B">
            <w:r>
              <w:t>61799</w:t>
            </w:r>
          </w:p>
        </w:tc>
        <w:tc>
          <w:tcPr>
            <w:tcW w:w="0" w:type="auto"/>
          </w:tcPr>
          <w:p w14:paraId="3DC7DDB4" w14:textId="2B55429A" w:rsidR="00FE2079" w:rsidRPr="000252BB" w:rsidRDefault="00FE2079" w:rsidP="00FE2079">
            <w:r>
              <w:t>Stereotactic radiosurgery (particle beam, gamma ray, or linear accelerator); each additional cranial lesion, complex (list separately in addition to code for primary procedure)</w:t>
            </w:r>
          </w:p>
        </w:tc>
      </w:tr>
      <w:tr w:rsidR="00FE2079" w:rsidRPr="000252BB" w14:paraId="370EEF51" w14:textId="77777777" w:rsidTr="008C587B">
        <w:tblPrEx>
          <w:tblLook w:val="04A0" w:firstRow="1" w:lastRow="0" w:firstColumn="1" w:lastColumn="0" w:noHBand="0" w:noVBand="1"/>
        </w:tblPrEx>
        <w:tc>
          <w:tcPr>
            <w:tcW w:w="0" w:type="auto"/>
          </w:tcPr>
          <w:p w14:paraId="53FDA03A" w14:textId="1D846CE8" w:rsidR="00FE2079" w:rsidRPr="000252BB" w:rsidRDefault="00FE2079" w:rsidP="008C587B">
            <w:r>
              <w:t>61800</w:t>
            </w:r>
          </w:p>
        </w:tc>
        <w:tc>
          <w:tcPr>
            <w:tcW w:w="0" w:type="auto"/>
          </w:tcPr>
          <w:p w14:paraId="43F8B39A" w14:textId="36507108" w:rsidR="00FE2079" w:rsidRPr="000252BB" w:rsidRDefault="00FE2079" w:rsidP="00FE2079">
            <w:r>
              <w:t>Application of stereotactic headframe for stereotactic radiosurgery (list separately in addition to code for primary procedure)</w:t>
            </w:r>
          </w:p>
        </w:tc>
      </w:tr>
      <w:tr w:rsidR="00FE2079" w:rsidRPr="000252BB" w14:paraId="559D2CB9" w14:textId="77777777" w:rsidTr="008C587B">
        <w:tblPrEx>
          <w:tblLook w:val="04A0" w:firstRow="1" w:lastRow="0" w:firstColumn="1" w:lastColumn="0" w:noHBand="0" w:noVBand="1"/>
        </w:tblPrEx>
        <w:tc>
          <w:tcPr>
            <w:tcW w:w="0" w:type="auto"/>
          </w:tcPr>
          <w:p w14:paraId="52FFBE22" w14:textId="2EF4A6FB" w:rsidR="00FE2079" w:rsidRPr="000252BB" w:rsidRDefault="00FE2079" w:rsidP="008C587B">
            <w:r>
              <w:t>63620</w:t>
            </w:r>
          </w:p>
        </w:tc>
        <w:tc>
          <w:tcPr>
            <w:tcW w:w="0" w:type="auto"/>
          </w:tcPr>
          <w:p w14:paraId="382DF1AC" w14:textId="494D345D" w:rsidR="00FE2079" w:rsidRPr="000252BB" w:rsidRDefault="00FE2079" w:rsidP="00FE2079">
            <w:r>
              <w:t>Stereotactic radiosurgery (particle beam, gamma ray, or linear accelerator); 1 spinal lesion</w:t>
            </w:r>
          </w:p>
        </w:tc>
      </w:tr>
      <w:tr w:rsidR="00FE2079" w:rsidRPr="000252BB" w14:paraId="72AE7499" w14:textId="77777777" w:rsidTr="008C587B">
        <w:tblPrEx>
          <w:tblLook w:val="04A0" w:firstRow="1" w:lastRow="0" w:firstColumn="1" w:lastColumn="0" w:noHBand="0" w:noVBand="1"/>
        </w:tblPrEx>
        <w:tc>
          <w:tcPr>
            <w:tcW w:w="0" w:type="auto"/>
          </w:tcPr>
          <w:p w14:paraId="09C99BDD" w14:textId="693FD8A9" w:rsidR="00FE2079" w:rsidRPr="000252BB" w:rsidRDefault="00FE2079" w:rsidP="008C587B">
            <w:r>
              <w:t>63621</w:t>
            </w:r>
          </w:p>
        </w:tc>
        <w:tc>
          <w:tcPr>
            <w:tcW w:w="0" w:type="auto"/>
          </w:tcPr>
          <w:p w14:paraId="166D1AEB" w14:textId="124601D8" w:rsidR="00FE2079" w:rsidRPr="000252BB" w:rsidRDefault="00FE2079" w:rsidP="00FE2079">
            <w:r>
              <w:t>Stereotactic radiosurgery (particle beam, gamma ray, or linear accelerator); each additional spinal lesion (list separately in addition to code for primary procedure)</w:t>
            </w:r>
          </w:p>
        </w:tc>
      </w:tr>
      <w:tr w:rsidR="00FE2079" w:rsidRPr="000252BB" w14:paraId="147BC3FD" w14:textId="77777777" w:rsidTr="008C587B">
        <w:tblPrEx>
          <w:tblLook w:val="04A0" w:firstRow="1" w:lastRow="0" w:firstColumn="1" w:lastColumn="0" w:noHBand="0" w:noVBand="1"/>
        </w:tblPrEx>
        <w:tc>
          <w:tcPr>
            <w:tcW w:w="0" w:type="auto"/>
          </w:tcPr>
          <w:p w14:paraId="29BBF982" w14:textId="064DCF53" w:rsidR="00FE2079" w:rsidRPr="000252BB" w:rsidRDefault="00FE2079" w:rsidP="008C587B">
            <w:r>
              <w:t>77371</w:t>
            </w:r>
          </w:p>
        </w:tc>
        <w:tc>
          <w:tcPr>
            <w:tcW w:w="0" w:type="auto"/>
          </w:tcPr>
          <w:p w14:paraId="2B5FC7AB" w14:textId="44507F3B" w:rsidR="00FE2079" w:rsidRPr="000252BB" w:rsidRDefault="00CC0549" w:rsidP="00FE2079">
            <w:r>
              <w:t>R</w:t>
            </w:r>
            <w:r w:rsidR="00FE2079">
              <w:t>adiation treatment delivery, stereotactic radiosurgery (srs), complete course of treatment of cranial lesion(s) consisting of 1 session; multi-source cobalt 60 based</w:t>
            </w:r>
          </w:p>
        </w:tc>
      </w:tr>
      <w:tr w:rsidR="00FE2079" w:rsidRPr="000252BB" w14:paraId="225A31C5" w14:textId="77777777" w:rsidTr="008C587B">
        <w:tblPrEx>
          <w:tblLook w:val="04A0" w:firstRow="1" w:lastRow="0" w:firstColumn="1" w:lastColumn="0" w:noHBand="0" w:noVBand="1"/>
        </w:tblPrEx>
        <w:tc>
          <w:tcPr>
            <w:tcW w:w="0" w:type="auto"/>
          </w:tcPr>
          <w:p w14:paraId="6B1A84B8" w14:textId="35C3BBC9" w:rsidR="00FE2079" w:rsidRPr="000252BB" w:rsidRDefault="00FE2079" w:rsidP="008C587B">
            <w:r>
              <w:t>77372</w:t>
            </w:r>
          </w:p>
        </w:tc>
        <w:tc>
          <w:tcPr>
            <w:tcW w:w="0" w:type="auto"/>
          </w:tcPr>
          <w:p w14:paraId="73626F71" w14:textId="16D617DB" w:rsidR="00FE2079" w:rsidRPr="000252BB" w:rsidRDefault="00CC0549" w:rsidP="00FE2079">
            <w:r>
              <w:t>R</w:t>
            </w:r>
            <w:r w:rsidR="00FE2079">
              <w:t>adiation treatment delivery, stereotactic radiosurgery (srs), complete course of treatment of cranial lesion(s) consisting of 1 session; linear accelerator based</w:t>
            </w:r>
          </w:p>
        </w:tc>
      </w:tr>
      <w:tr w:rsidR="006C5EA8" w:rsidRPr="006C5EA8" w14:paraId="0D2309FD" w14:textId="77777777" w:rsidTr="00FE2079">
        <w:tblPrEx>
          <w:tblLook w:val="04A0" w:firstRow="1" w:lastRow="0" w:firstColumn="1" w:lastColumn="0" w:noHBand="0" w:noVBand="1"/>
        </w:tblPrEx>
        <w:tc>
          <w:tcPr>
            <w:tcW w:w="0" w:type="auto"/>
            <w:hideMark/>
          </w:tcPr>
          <w:p w14:paraId="1FF0745D" w14:textId="77777777" w:rsidR="006C5EA8" w:rsidRPr="000252BB" w:rsidRDefault="006C5EA8">
            <w:r w:rsidRPr="000252BB">
              <w:t>77373</w:t>
            </w:r>
          </w:p>
        </w:tc>
        <w:tc>
          <w:tcPr>
            <w:tcW w:w="0" w:type="auto"/>
            <w:hideMark/>
          </w:tcPr>
          <w:p w14:paraId="66ACC589" w14:textId="6FFD913E" w:rsidR="006C5EA8" w:rsidRPr="000252BB" w:rsidRDefault="006C5EA8">
            <w:r w:rsidRPr="000252BB">
              <w:t>Stereotactic body radiation therapy, treatment delivery, per fraction to 1 or more lesions, including image guidance, entire course not to exceed 5 fractions</w:t>
            </w:r>
          </w:p>
        </w:tc>
      </w:tr>
      <w:tr w:rsidR="00045AD8" w:rsidRPr="006C5EA8" w14:paraId="60254B8A" w14:textId="77777777" w:rsidTr="00FE2079">
        <w:tblPrEx>
          <w:tblLook w:val="04A0" w:firstRow="1" w:lastRow="0" w:firstColumn="1" w:lastColumn="0" w:noHBand="0" w:noVBand="1"/>
        </w:tblPrEx>
        <w:tc>
          <w:tcPr>
            <w:tcW w:w="0" w:type="auto"/>
          </w:tcPr>
          <w:p w14:paraId="32CB9283" w14:textId="0C1EB6EF" w:rsidR="00045AD8" w:rsidRPr="000252BB" w:rsidRDefault="00045AD8">
            <w:r w:rsidRPr="00045AD8">
              <w:lastRenderedPageBreak/>
              <w:t>77432</w:t>
            </w:r>
          </w:p>
        </w:tc>
        <w:tc>
          <w:tcPr>
            <w:tcW w:w="0" w:type="auto"/>
          </w:tcPr>
          <w:p w14:paraId="46C073BF" w14:textId="6DF8AA94" w:rsidR="00045AD8" w:rsidRPr="000252BB" w:rsidRDefault="00045AD8">
            <w:r w:rsidRPr="00045AD8">
              <w:t>Stereotactic radiation treatment management of cranial lesion(s) (complete course of treatment consisting of 1 session</w:t>
            </w:r>
            <w:r w:rsidRPr="00045AD8">
              <w:t>)</w:t>
            </w:r>
          </w:p>
        </w:tc>
      </w:tr>
      <w:tr w:rsidR="006C5EA8" w:rsidRPr="006C5EA8" w14:paraId="30FB97E9" w14:textId="77777777" w:rsidTr="00FE2079">
        <w:tblPrEx>
          <w:tblLook w:val="04A0" w:firstRow="1" w:lastRow="0" w:firstColumn="1" w:lastColumn="0" w:noHBand="0" w:noVBand="1"/>
        </w:tblPrEx>
        <w:tc>
          <w:tcPr>
            <w:tcW w:w="0" w:type="auto"/>
            <w:hideMark/>
          </w:tcPr>
          <w:p w14:paraId="1442F3FF" w14:textId="77777777" w:rsidR="006C5EA8" w:rsidRPr="000252BB" w:rsidRDefault="006C5EA8">
            <w:r w:rsidRPr="000252BB">
              <w:t>77435</w:t>
            </w:r>
          </w:p>
        </w:tc>
        <w:tc>
          <w:tcPr>
            <w:tcW w:w="0" w:type="auto"/>
            <w:hideMark/>
          </w:tcPr>
          <w:p w14:paraId="6797433E" w14:textId="12B7A871" w:rsidR="006C5EA8" w:rsidRPr="000252BB" w:rsidRDefault="006C5EA8">
            <w:r w:rsidRPr="000252BB">
              <w:t>Stereotactic body radiation therapy, treatment management, per treatment course, to 1 or more lesions, including image guidance, entire course not to exceed 5 fractions</w:t>
            </w:r>
          </w:p>
        </w:tc>
      </w:tr>
    </w:tbl>
    <w:p w14:paraId="35FA17C6" w14:textId="77777777" w:rsidR="00AF5490" w:rsidRPr="006C5EA8" w:rsidRDefault="00AF5490" w:rsidP="00AF5490"/>
    <w:tbl>
      <w:tblPr>
        <w:tblStyle w:val="TableGrid"/>
        <w:tblW w:w="4823" w:type="pct"/>
        <w:tblInd w:w="-95" w:type="dxa"/>
        <w:tblLook w:val="0020" w:firstRow="1" w:lastRow="0" w:firstColumn="0" w:lastColumn="0" w:noHBand="0" w:noVBand="0"/>
      </w:tblPr>
      <w:tblGrid>
        <w:gridCol w:w="1130"/>
        <w:gridCol w:w="7889"/>
      </w:tblGrid>
      <w:tr w:rsidR="003F3D44" w:rsidRPr="006C5EA8" w14:paraId="7D10F885" w14:textId="77777777" w:rsidTr="00FE2079">
        <w:trPr>
          <w:tblHeader/>
        </w:trPr>
        <w:tc>
          <w:tcPr>
            <w:tcW w:w="1130" w:type="dxa"/>
            <w:shd w:val="clear" w:color="auto" w:fill="00548C"/>
          </w:tcPr>
          <w:p w14:paraId="566EE903" w14:textId="77777777" w:rsidR="003F3D44" w:rsidRPr="006C5EA8" w:rsidRDefault="003F3D44">
            <w:pPr>
              <w:rPr>
                <w:b/>
                <w:bCs/>
                <w:color w:val="FFFFFF" w:themeColor="background1"/>
              </w:rPr>
            </w:pPr>
            <w:r w:rsidRPr="006C5EA8">
              <w:rPr>
                <w:b/>
                <w:color w:val="FFFFFF" w:themeColor="background1"/>
              </w:rPr>
              <w:t xml:space="preserve">HCPCS Codes </w:t>
            </w:r>
          </w:p>
        </w:tc>
        <w:tc>
          <w:tcPr>
            <w:tcW w:w="7889" w:type="dxa"/>
            <w:shd w:val="clear" w:color="auto" w:fill="00548C"/>
          </w:tcPr>
          <w:p w14:paraId="77EDE902" w14:textId="77777777" w:rsidR="003F3D44" w:rsidRPr="006C5EA8" w:rsidRDefault="003F3D44">
            <w:pPr>
              <w:rPr>
                <w:b/>
                <w:bCs/>
                <w:color w:val="FFFFFF" w:themeColor="background1"/>
              </w:rPr>
            </w:pPr>
            <w:r w:rsidRPr="006C5EA8">
              <w:rPr>
                <w:b/>
                <w:color w:val="FFFFFF" w:themeColor="background1"/>
              </w:rPr>
              <w:t>Description</w:t>
            </w:r>
          </w:p>
        </w:tc>
      </w:tr>
      <w:tr w:rsidR="006C5EA8" w:rsidRPr="006C5EA8" w14:paraId="32213792" w14:textId="77777777" w:rsidTr="00FE2079">
        <w:tblPrEx>
          <w:tblLook w:val="04A0" w:firstRow="1" w:lastRow="0" w:firstColumn="1" w:lastColumn="0" w:noHBand="0" w:noVBand="1"/>
        </w:tblPrEx>
        <w:tc>
          <w:tcPr>
            <w:tcW w:w="1130" w:type="dxa"/>
            <w:hideMark/>
          </w:tcPr>
          <w:p w14:paraId="4B573E9D" w14:textId="77777777" w:rsidR="006C5EA8" w:rsidRPr="000252BB" w:rsidRDefault="006C5EA8">
            <w:r w:rsidRPr="000252BB">
              <w:t>G0339</w:t>
            </w:r>
          </w:p>
        </w:tc>
        <w:tc>
          <w:tcPr>
            <w:tcW w:w="7889" w:type="dxa"/>
            <w:hideMark/>
          </w:tcPr>
          <w:p w14:paraId="6D09F5A2" w14:textId="3FFB2A40" w:rsidR="006C5EA8" w:rsidRPr="000252BB" w:rsidRDefault="006C5EA8">
            <w:r w:rsidRPr="000252BB">
              <w:t>Image-guided robotic linear accelerator-based stereotactic radiosurgery, complete course of therapy in one session or first session of fractionated treatment</w:t>
            </w:r>
          </w:p>
        </w:tc>
      </w:tr>
      <w:tr w:rsidR="006C5EA8" w:rsidRPr="006C5EA8" w14:paraId="755A1127" w14:textId="77777777" w:rsidTr="00FE2079">
        <w:tblPrEx>
          <w:tblLook w:val="04A0" w:firstRow="1" w:lastRow="0" w:firstColumn="1" w:lastColumn="0" w:noHBand="0" w:noVBand="1"/>
        </w:tblPrEx>
        <w:tc>
          <w:tcPr>
            <w:tcW w:w="1130" w:type="dxa"/>
            <w:hideMark/>
          </w:tcPr>
          <w:p w14:paraId="3F5DAF49" w14:textId="77777777" w:rsidR="006C5EA8" w:rsidRPr="000252BB" w:rsidRDefault="006C5EA8">
            <w:r w:rsidRPr="000252BB">
              <w:t>G0340</w:t>
            </w:r>
          </w:p>
        </w:tc>
        <w:tc>
          <w:tcPr>
            <w:tcW w:w="7889" w:type="dxa"/>
            <w:hideMark/>
          </w:tcPr>
          <w:p w14:paraId="081A55CB" w14:textId="3BB74609" w:rsidR="006C5EA8" w:rsidRPr="000252BB" w:rsidRDefault="006C5EA8">
            <w:r w:rsidRPr="000252BB">
              <w:t>Image-guided robotic linear accelerator-based stereotactic radiosurgery, delivery including collimator changes and custom plugging, fractionated treatment, all lesions, per session, second through fifth sessions, maximum five sessions per course of treatment</w:t>
            </w:r>
          </w:p>
        </w:tc>
      </w:tr>
    </w:tbl>
    <w:p w14:paraId="4F5F70F6" w14:textId="77777777" w:rsidR="00350F22" w:rsidRDefault="00350F22" w:rsidP="00AF5490"/>
    <w:tbl>
      <w:tblPr>
        <w:tblStyle w:val="LightList-Accent1"/>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190"/>
        <w:gridCol w:w="1198"/>
        <w:gridCol w:w="1260"/>
      </w:tblGrid>
      <w:tr w:rsidR="00B777AF" w:rsidRPr="00B777AF" w14:paraId="7D1C1034" w14:textId="77777777" w:rsidTr="008D6CA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90" w:type="dxa"/>
            <w:tcBorders>
              <w:left w:val="none" w:sz="0" w:space="0" w:color="auto"/>
              <w:right w:val="none" w:sz="0" w:space="0" w:color="auto"/>
            </w:tcBorders>
            <w:shd w:val="clear" w:color="auto" w:fill="00548C"/>
          </w:tcPr>
          <w:p w14:paraId="1B7D7C1D" w14:textId="77777777" w:rsidR="00B777AF" w:rsidRPr="00B777AF" w:rsidRDefault="00B777AF" w:rsidP="00B777AF">
            <w:pPr>
              <w:rPr>
                <w:bCs w:val="0"/>
              </w:rPr>
            </w:pPr>
            <w:bookmarkStart w:id="2" w:name="Revision_Log"/>
            <w:r w:rsidRPr="00B777AF">
              <w:rPr>
                <w:bCs w:val="0"/>
              </w:rPr>
              <w:t>Reviews</w:t>
            </w:r>
            <w:r>
              <w:rPr>
                <w:bCs w:val="0"/>
              </w:rPr>
              <w:t>, Revisions, and Approvals</w:t>
            </w:r>
            <w:bookmarkEnd w:id="2"/>
          </w:p>
        </w:tc>
        <w:tc>
          <w:tcPr>
            <w:tcW w:w="1198" w:type="dxa"/>
            <w:shd w:val="clear" w:color="auto" w:fill="00548C"/>
          </w:tcPr>
          <w:p w14:paraId="380F29D8" w14:textId="77777777" w:rsidR="00B777AF" w:rsidRPr="00B777AF" w:rsidRDefault="008D6CA9" w:rsidP="005776FD">
            <w:pPr>
              <w:jc w:val="center"/>
              <w:cnfStyle w:val="100000000000" w:firstRow="1" w:lastRow="0" w:firstColumn="0" w:lastColumn="0" w:oddVBand="0" w:evenVBand="0" w:oddHBand="0" w:evenHBand="0" w:firstRowFirstColumn="0" w:firstRowLastColumn="0" w:lastRowFirstColumn="0" w:lastRowLastColumn="0"/>
              <w:rPr>
                <w:bCs w:val="0"/>
              </w:rPr>
            </w:pPr>
            <w:r>
              <w:rPr>
                <w:bCs w:val="0"/>
              </w:rPr>
              <w:t xml:space="preserve">Revision </w:t>
            </w:r>
            <w:r w:rsidR="00B777AF" w:rsidRPr="00B777AF">
              <w:rPr>
                <w:bCs w:val="0"/>
              </w:rPr>
              <w:t>Date</w:t>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shd w:val="clear" w:color="auto" w:fill="00548C"/>
          </w:tcPr>
          <w:p w14:paraId="38C51DFC" w14:textId="77777777" w:rsidR="00B777AF" w:rsidRPr="00B777AF" w:rsidRDefault="001818D7" w:rsidP="00857C10">
            <w:pPr>
              <w:jc w:val="center"/>
              <w:rPr>
                <w:bCs w:val="0"/>
              </w:rPr>
            </w:pPr>
            <w:r>
              <w:rPr>
                <w:bCs w:val="0"/>
              </w:rPr>
              <w:t>Approval</w:t>
            </w:r>
            <w:r w:rsidR="00B777AF" w:rsidRPr="00B777AF">
              <w:rPr>
                <w:bCs w:val="0"/>
              </w:rPr>
              <w:t xml:space="preserve"> Date</w:t>
            </w:r>
          </w:p>
        </w:tc>
      </w:tr>
      <w:tr w:rsidR="00B777AF" w14:paraId="10354915" w14:textId="77777777" w:rsidTr="008D6C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90" w:type="dxa"/>
            <w:tcBorders>
              <w:top w:val="none" w:sz="0" w:space="0" w:color="auto"/>
              <w:left w:val="none" w:sz="0" w:space="0" w:color="auto"/>
              <w:bottom w:val="none" w:sz="0" w:space="0" w:color="auto"/>
              <w:right w:val="none" w:sz="0" w:space="0" w:color="auto"/>
            </w:tcBorders>
          </w:tcPr>
          <w:p w14:paraId="38A69BEB" w14:textId="784039D8" w:rsidR="00B777AF" w:rsidRDefault="00CB63DD">
            <w:pPr>
              <w:tabs>
                <w:tab w:val="num" w:pos="720"/>
              </w:tabs>
            </w:pPr>
            <w:r>
              <w:t>Original approval date</w:t>
            </w:r>
            <w:r w:rsidR="00257963">
              <w:t>.</w:t>
            </w:r>
          </w:p>
        </w:tc>
        <w:tc>
          <w:tcPr>
            <w:tcW w:w="1198" w:type="dxa"/>
            <w:tcBorders>
              <w:top w:val="none" w:sz="0" w:space="0" w:color="auto"/>
              <w:bottom w:val="none" w:sz="0" w:space="0" w:color="auto"/>
            </w:tcBorders>
          </w:tcPr>
          <w:p w14:paraId="6AB8581E" w14:textId="01F9BD8C" w:rsidR="00B777AF" w:rsidRDefault="002E01EE" w:rsidP="005776FD">
            <w:pPr>
              <w:jc w:val="center"/>
              <w:cnfStyle w:val="000000100000" w:firstRow="0" w:lastRow="0" w:firstColumn="0" w:lastColumn="0" w:oddVBand="0" w:evenVBand="0" w:oddHBand="1" w:evenHBand="0" w:firstRowFirstColumn="0" w:firstRowLastColumn="0" w:lastRowFirstColumn="0" w:lastRowLastColumn="0"/>
            </w:pPr>
            <w:r>
              <w:t>0</w:t>
            </w:r>
            <w:r w:rsidR="009C1DB3">
              <w:t>8</w:t>
            </w:r>
            <w:r>
              <w:t>/23</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3D195742" w14:textId="57076A7B" w:rsidR="00B777AF" w:rsidRDefault="009C1DB3" w:rsidP="00857C10">
            <w:pPr>
              <w:jc w:val="center"/>
            </w:pPr>
            <w:r>
              <w:t>08/23</w:t>
            </w:r>
          </w:p>
        </w:tc>
      </w:tr>
      <w:tr w:rsidR="00172E90" w14:paraId="2A05E25C" w14:textId="77777777" w:rsidTr="00EE2EA8">
        <w:trPr>
          <w:trHeight w:val="700"/>
        </w:trPr>
        <w:tc>
          <w:tcPr>
            <w:cnfStyle w:val="000010000000" w:firstRow="0" w:lastRow="0" w:firstColumn="0" w:lastColumn="0" w:oddVBand="1" w:evenVBand="0" w:oddHBand="0" w:evenHBand="0" w:firstRowFirstColumn="0" w:firstRowLastColumn="0" w:lastRowFirstColumn="0" w:lastRowLastColumn="0"/>
            <w:tcW w:w="7190" w:type="dxa"/>
          </w:tcPr>
          <w:p w14:paraId="616B1D68" w14:textId="7BCEB119" w:rsidR="00172E90" w:rsidRPr="00CC3682" w:rsidRDefault="00172E90" w:rsidP="00CC0549">
            <w:pPr>
              <w:spacing w:after="160" w:line="259" w:lineRule="auto"/>
              <w:rPr>
                <w:rFonts w:eastAsiaTheme="minorHAnsi"/>
                <w:kern w:val="2"/>
              </w:rPr>
            </w:pPr>
            <w:r>
              <w:t>Annual review.</w:t>
            </w:r>
            <w:r w:rsidR="003D69C7">
              <w:t xml:space="preserve"> </w:t>
            </w:r>
            <w:r w:rsidR="00AC71AB">
              <w:t xml:space="preserve">Added risk/benefit statement. </w:t>
            </w:r>
            <w:r w:rsidR="002F5910" w:rsidRPr="0024493B">
              <w:rPr>
                <w:color w:val="000000"/>
              </w:rPr>
              <w:t xml:space="preserve">Added criteria III.E.1-III.E.4. </w:t>
            </w:r>
            <w:r w:rsidR="002F5910" w:rsidRPr="0024493B">
              <w:t>Extracranial oligometastatic disease, any of the following: One to three metastatic lesions involving the lungs, liver or bone; Primary tumor is breast, colorectal, melanoma, non-small cell lung, prostate, renal cell or sarcoma; Primary tumor is controlled; No prior history of metastatic disease.</w:t>
            </w:r>
            <w:r w:rsidR="00BC4125">
              <w:t xml:space="preserve"> III.F. Acoustic neuroma; III.G. spinal tumors.</w:t>
            </w:r>
            <w:r w:rsidR="002F5910" w:rsidRPr="00CC3682">
              <w:rPr>
                <w:rFonts w:eastAsiaTheme="minorHAnsi"/>
                <w:kern w:val="2"/>
              </w:rPr>
              <w:t xml:space="preserve"> </w:t>
            </w:r>
            <w:r w:rsidR="003D69C7">
              <w:t>Minor edits to background with no clinical significance.</w:t>
            </w:r>
            <w:r w:rsidR="00CC0549">
              <w:t xml:space="preserve"> Added CPT codes 61796, 61797, 61798, 61799, 61800, 63620, 63621, 77371, 77372</w:t>
            </w:r>
            <w:r w:rsidR="00045AD8">
              <w:t xml:space="preserve">, and </w:t>
            </w:r>
            <w:r w:rsidR="00045AD8" w:rsidRPr="00045AD8">
              <w:t>77432</w:t>
            </w:r>
            <w:r w:rsidR="00CC0549">
              <w:t xml:space="preserve"> to policy. </w:t>
            </w:r>
            <w:r w:rsidR="003D69C7">
              <w:t>References reviewed and updated. Reviewed by external specialist.</w:t>
            </w:r>
          </w:p>
        </w:tc>
        <w:tc>
          <w:tcPr>
            <w:tcW w:w="1198" w:type="dxa"/>
          </w:tcPr>
          <w:p w14:paraId="65540116" w14:textId="263004D1" w:rsidR="00172E90" w:rsidRDefault="00172E90" w:rsidP="005776FD">
            <w:pPr>
              <w:jc w:val="center"/>
              <w:cnfStyle w:val="000000000000" w:firstRow="0" w:lastRow="0" w:firstColumn="0" w:lastColumn="0" w:oddVBand="0" w:evenVBand="0" w:oddHBand="0" w:evenHBand="0" w:firstRowFirstColumn="0" w:firstRowLastColumn="0" w:lastRowFirstColumn="0" w:lastRowLastColumn="0"/>
            </w:pPr>
            <w:r>
              <w:t>10/24</w:t>
            </w:r>
          </w:p>
        </w:tc>
        <w:tc>
          <w:tcPr>
            <w:cnfStyle w:val="000010000000" w:firstRow="0" w:lastRow="0" w:firstColumn="0" w:lastColumn="0" w:oddVBand="1" w:evenVBand="0" w:oddHBand="0" w:evenHBand="0" w:firstRowFirstColumn="0" w:firstRowLastColumn="0" w:lastRowFirstColumn="0" w:lastRowLastColumn="0"/>
            <w:tcW w:w="1260" w:type="dxa"/>
          </w:tcPr>
          <w:p w14:paraId="62BA8ED1" w14:textId="6A196E85" w:rsidR="00172E90" w:rsidRDefault="007866E2" w:rsidP="00857C10">
            <w:pPr>
              <w:jc w:val="center"/>
            </w:pPr>
            <w:r>
              <w:t>10/24</w:t>
            </w:r>
          </w:p>
        </w:tc>
      </w:tr>
    </w:tbl>
    <w:p w14:paraId="1723C825" w14:textId="77777777" w:rsidR="00B777AF" w:rsidRDefault="00B777AF" w:rsidP="00B777AF">
      <w:pPr>
        <w:pStyle w:val="Heading6"/>
        <w:tabs>
          <w:tab w:val="clear" w:pos="0"/>
        </w:tabs>
      </w:pPr>
    </w:p>
    <w:p w14:paraId="52C1E438" w14:textId="77777777" w:rsidR="00963062" w:rsidRPr="00B777AF" w:rsidRDefault="003F3D44" w:rsidP="00963062">
      <w:pPr>
        <w:pStyle w:val="Heading3"/>
      </w:pPr>
      <w:r>
        <w:t>References</w:t>
      </w:r>
    </w:p>
    <w:p w14:paraId="5CED6ECB" w14:textId="031AE503" w:rsidR="002E01EE" w:rsidRDefault="002E01EE" w:rsidP="002E01EE">
      <w:pPr>
        <w:pStyle w:val="ListParagraph"/>
        <w:numPr>
          <w:ilvl w:val="0"/>
          <w:numId w:val="21"/>
        </w:numPr>
        <w:ind w:left="360"/>
      </w:pPr>
      <w:r w:rsidRPr="00816947">
        <w:t>Local coverage determination:</w:t>
      </w:r>
      <w:r w:rsidRPr="00FA140A">
        <w:t xml:space="preserve"> s</w:t>
      </w:r>
      <w:r w:rsidRPr="002E01EE">
        <w:t xml:space="preserve">tereotactic </w:t>
      </w:r>
      <w:r>
        <w:t>r</w:t>
      </w:r>
      <w:r w:rsidRPr="002E01EE">
        <w:t xml:space="preserve">adiation </w:t>
      </w:r>
      <w:r>
        <w:t>t</w:t>
      </w:r>
      <w:r w:rsidRPr="002E01EE">
        <w:t xml:space="preserve">herapy: </w:t>
      </w:r>
      <w:r>
        <w:t>s</w:t>
      </w:r>
      <w:r w:rsidRPr="002E01EE">
        <w:t xml:space="preserve">tereotactic </w:t>
      </w:r>
      <w:r>
        <w:t>r</w:t>
      </w:r>
      <w:r w:rsidRPr="002E01EE">
        <w:t xml:space="preserve">adiosurgery (SRS) and </w:t>
      </w:r>
      <w:r>
        <w:t>s</w:t>
      </w:r>
      <w:r w:rsidRPr="002E01EE">
        <w:t xml:space="preserve">tereotactic </w:t>
      </w:r>
      <w:r>
        <w:t>b</w:t>
      </w:r>
      <w:r w:rsidRPr="002E01EE">
        <w:t xml:space="preserve">ody </w:t>
      </w:r>
      <w:r>
        <w:t>r</w:t>
      </w:r>
      <w:r w:rsidRPr="002E01EE">
        <w:t xml:space="preserve">adiation </w:t>
      </w:r>
      <w:r>
        <w:t>t</w:t>
      </w:r>
      <w:r w:rsidRPr="002E01EE">
        <w:t>herapy (SBRT)</w:t>
      </w:r>
      <w:r>
        <w:t xml:space="preserve"> (L35076). </w:t>
      </w:r>
      <w:r w:rsidRPr="00816947">
        <w:t xml:space="preserve">Centers for Medicare and Medicaid Services Web site. </w:t>
      </w:r>
      <w:hyperlink r:id="rId14" w:history="1">
        <w:r w:rsidRPr="00816947">
          <w:rPr>
            <w:rStyle w:val="Hyperlink"/>
          </w:rPr>
          <w:t>http://www.cms.hhs.gov/mcd/search.asp</w:t>
        </w:r>
      </w:hyperlink>
      <w:r w:rsidRPr="00816947">
        <w:t xml:space="preserve">. Published </w:t>
      </w:r>
      <w:r>
        <w:t xml:space="preserve">October 1, 2015 </w:t>
      </w:r>
      <w:r w:rsidRPr="00816947">
        <w:t>(revised</w:t>
      </w:r>
      <w:r>
        <w:t xml:space="preserve"> April 1, 2020</w:t>
      </w:r>
      <w:r w:rsidRPr="00816947">
        <w:t xml:space="preserve">). Accessed </w:t>
      </w:r>
      <w:r w:rsidR="00F93CB8">
        <w:t>September 3, 2024</w:t>
      </w:r>
      <w:r>
        <w:t>.</w:t>
      </w:r>
    </w:p>
    <w:p w14:paraId="61ADEEE2" w14:textId="69CD1828" w:rsidR="002E01EE" w:rsidRDefault="002E01EE" w:rsidP="002E01EE">
      <w:pPr>
        <w:pStyle w:val="ListParagraph"/>
        <w:numPr>
          <w:ilvl w:val="0"/>
          <w:numId w:val="21"/>
        </w:numPr>
        <w:ind w:left="360"/>
      </w:pPr>
      <w:r>
        <w:t>Local coverage article:</w:t>
      </w:r>
      <w:r w:rsidRPr="00FA140A">
        <w:t xml:space="preserve"> s</w:t>
      </w:r>
      <w:r w:rsidRPr="002E01EE">
        <w:t xml:space="preserve">tereotactic </w:t>
      </w:r>
      <w:r>
        <w:t>r</w:t>
      </w:r>
      <w:r w:rsidRPr="002E01EE">
        <w:t xml:space="preserve">adiation </w:t>
      </w:r>
      <w:r>
        <w:t>t</w:t>
      </w:r>
      <w:r w:rsidRPr="002E01EE">
        <w:t xml:space="preserve">herapy: </w:t>
      </w:r>
      <w:r>
        <w:t>s</w:t>
      </w:r>
      <w:r w:rsidRPr="002E01EE">
        <w:t xml:space="preserve">tereotactic </w:t>
      </w:r>
      <w:r>
        <w:t>r</w:t>
      </w:r>
      <w:r w:rsidRPr="002E01EE">
        <w:t xml:space="preserve">adiosurgery (SRS) and </w:t>
      </w:r>
      <w:r>
        <w:t>s</w:t>
      </w:r>
      <w:r w:rsidRPr="002E01EE">
        <w:t xml:space="preserve">tereotactic </w:t>
      </w:r>
      <w:r>
        <w:t>b</w:t>
      </w:r>
      <w:r w:rsidRPr="002E01EE">
        <w:t xml:space="preserve">ody </w:t>
      </w:r>
      <w:r>
        <w:t>r</w:t>
      </w:r>
      <w:r w:rsidRPr="002E01EE">
        <w:t xml:space="preserve">adiation </w:t>
      </w:r>
      <w:r>
        <w:t>t</w:t>
      </w:r>
      <w:r w:rsidRPr="002E01EE">
        <w:t>herapy (SBRT)</w:t>
      </w:r>
      <w:r>
        <w:t xml:space="preserve"> (A56874). Centers for Medicare and Medicaid Services Web site. </w:t>
      </w:r>
      <w:hyperlink r:id="rId15" w:history="1">
        <w:r w:rsidRPr="00816947">
          <w:rPr>
            <w:rStyle w:val="Hyperlink"/>
          </w:rPr>
          <w:t>http://www.cms.hhs.gov/mcd/search.asp</w:t>
        </w:r>
      </w:hyperlink>
      <w:r>
        <w:t xml:space="preserve">. Published August 22, 2019 (revised April 1, 2020). Accessed </w:t>
      </w:r>
      <w:r w:rsidR="00F93CB8">
        <w:t>September 3, 2024</w:t>
      </w:r>
      <w:r>
        <w:t xml:space="preserve">. </w:t>
      </w:r>
    </w:p>
    <w:p w14:paraId="304A0CC5" w14:textId="44D04E84" w:rsidR="00E63507" w:rsidRPr="009F0703" w:rsidRDefault="00E63507" w:rsidP="002E01EE">
      <w:pPr>
        <w:pStyle w:val="ListParagraph"/>
        <w:numPr>
          <w:ilvl w:val="0"/>
          <w:numId w:val="21"/>
        </w:numPr>
        <w:ind w:left="360"/>
      </w:pPr>
      <w:r w:rsidRPr="0024493B">
        <w:rPr>
          <w:color w:val="000000"/>
        </w:rPr>
        <w:t>Harrow S, Palma DA, Olson R, et al. Stereotactic Radiation for the Comprehensive Treatment of Oligometastases (SABR-COMET): Extended Long-Term Outcomes. 2022;114(4):611-616. doi:https://doi.org/10.1016/j.ijrobp.2022.05.004</w:t>
      </w:r>
    </w:p>
    <w:p w14:paraId="6874539A" w14:textId="585198C3" w:rsidR="0061469C" w:rsidRDefault="0061469C" w:rsidP="002E01EE">
      <w:pPr>
        <w:pStyle w:val="ListParagraph"/>
        <w:numPr>
          <w:ilvl w:val="0"/>
          <w:numId w:val="21"/>
        </w:numPr>
        <w:ind w:left="360"/>
      </w:pPr>
      <w:r w:rsidRPr="0025549C">
        <w:lastRenderedPageBreak/>
        <w:t xml:space="preserve">Park JK, Vernick DM, Ramakrishna N. Vestibular schwannoma (acoustic neuroma). UpToDate. </w:t>
      </w:r>
      <w:hyperlink r:id="rId16" w:history="1">
        <w:r w:rsidRPr="0025549C">
          <w:rPr>
            <w:rStyle w:val="Hyperlink"/>
          </w:rPr>
          <w:t>www.uptodate.com</w:t>
        </w:r>
      </w:hyperlink>
      <w:r w:rsidRPr="0025549C">
        <w:t xml:space="preserve">. Updated </w:t>
      </w:r>
      <w:r>
        <w:t>June 11, 2024</w:t>
      </w:r>
      <w:r w:rsidRPr="0025549C">
        <w:t xml:space="preserve">. Accessed </w:t>
      </w:r>
      <w:r>
        <w:t>September 3, 2024</w:t>
      </w:r>
    </w:p>
    <w:p w14:paraId="6F835D3A" w14:textId="64C07ADA" w:rsidR="009F0703" w:rsidRPr="00414DEE" w:rsidRDefault="009F0703" w:rsidP="002E01EE">
      <w:pPr>
        <w:pStyle w:val="ListParagraph"/>
        <w:numPr>
          <w:ilvl w:val="0"/>
          <w:numId w:val="21"/>
        </w:numPr>
        <w:ind w:left="360"/>
      </w:pPr>
      <w:r w:rsidRPr="00CF06D8">
        <w:rPr>
          <w:bCs/>
        </w:rPr>
        <w:t>National Comprehensive Cancer Network</w:t>
      </w:r>
      <w:r w:rsidRPr="006371D5">
        <w:rPr>
          <w:bCs/>
          <w:vertAlign w:val="superscript"/>
        </w:rPr>
        <w:t>®</w:t>
      </w:r>
      <w:r w:rsidRPr="006371D5">
        <w:rPr>
          <w:bCs/>
        </w:rPr>
        <w:t xml:space="preserve">. NCCN Clinical Practice Guidelines in Oncology Version </w:t>
      </w:r>
      <w:r w:rsidR="0071056C">
        <w:rPr>
          <w:bCs/>
        </w:rPr>
        <w:t>3.</w:t>
      </w:r>
      <w:r w:rsidR="00EE2EA8">
        <w:rPr>
          <w:bCs/>
        </w:rPr>
        <w:t>20</w:t>
      </w:r>
      <w:r w:rsidR="0071056C">
        <w:rPr>
          <w:bCs/>
        </w:rPr>
        <w:t>24</w:t>
      </w:r>
      <w:r w:rsidRPr="006371D5">
        <w:rPr>
          <w:bCs/>
        </w:rPr>
        <w:t xml:space="preserve">. </w:t>
      </w:r>
      <w:r w:rsidRPr="00CF06D8">
        <w:rPr>
          <w:bCs/>
        </w:rPr>
        <w:t xml:space="preserve">Central Nervous System Cancers. </w:t>
      </w:r>
      <w:hyperlink r:id="rId17" w:history="1">
        <w:r w:rsidR="0071056C" w:rsidRPr="00C2059D">
          <w:rPr>
            <w:rStyle w:val="Hyperlink"/>
            <w:bCs/>
          </w:rPr>
          <w:t>https://www.nccn.org/professionals/physician_gls/pdf/cns.pdf</w:t>
        </w:r>
      </w:hyperlink>
      <w:r w:rsidR="0071056C">
        <w:rPr>
          <w:bCs/>
        </w:rPr>
        <w:t>.</w:t>
      </w:r>
      <w:r w:rsidRPr="00CF06D8">
        <w:rPr>
          <w:bCs/>
        </w:rPr>
        <w:t xml:space="preserve"> Published </w:t>
      </w:r>
      <w:r w:rsidR="0071056C">
        <w:rPr>
          <w:bCs/>
        </w:rPr>
        <w:t>September 30, 2024</w:t>
      </w:r>
      <w:r w:rsidRPr="00CF06D8">
        <w:rPr>
          <w:bCs/>
        </w:rPr>
        <w:t xml:space="preserve">. Accessed </w:t>
      </w:r>
      <w:r w:rsidR="0071056C">
        <w:rPr>
          <w:bCs/>
        </w:rPr>
        <w:t>October 16, 2024</w:t>
      </w:r>
      <w:r w:rsidRPr="00CF06D8">
        <w:rPr>
          <w:bCs/>
        </w:rPr>
        <w:t>.</w:t>
      </w:r>
    </w:p>
    <w:p w14:paraId="365110D5" w14:textId="1F1EE18F" w:rsidR="00414DEE" w:rsidRPr="006A0C86" w:rsidRDefault="00414DEE" w:rsidP="00B6459E">
      <w:pPr>
        <w:pStyle w:val="ListParagraph"/>
        <w:numPr>
          <w:ilvl w:val="0"/>
          <w:numId w:val="21"/>
        </w:numPr>
        <w:ind w:left="360"/>
        <w:rPr>
          <w:rStyle w:val="Hyperlink"/>
          <w:color w:val="000000"/>
          <w:u w:val="none"/>
        </w:rPr>
      </w:pPr>
      <w:r w:rsidRPr="00414DEE">
        <w:rPr>
          <w:color w:val="000000"/>
        </w:rPr>
        <w:t xml:space="preserve">Stereotactic Body Radiation Therapy (SBRT): Procedure. Cleveland Clinic. </w:t>
      </w:r>
      <w:hyperlink r:id="rId18" w:history="1">
        <w:r w:rsidRPr="00D840D5">
          <w:rPr>
            <w:rStyle w:val="Hyperlink"/>
          </w:rPr>
          <w:t>https://my.clevelandclinic.org/health/treatments/22298-stereotactic-body-radiation-therapy-sbrt</w:t>
        </w:r>
      </w:hyperlink>
    </w:p>
    <w:p w14:paraId="180551EF" w14:textId="08CA34C6" w:rsidR="0071056C" w:rsidRDefault="0071056C" w:rsidP="0071056C">
      <w:pPr>
        <w:pStyle w:val="ListParagraph"/>
        <w:numPr>
          <w:ilvl w:val="0"/>
          <w:numId w:val="21"/>
        </w:numPr>
        <w:ind w:left="360"/>
        <w:rPr>
          <w:color w:val="000000"/>
        </w:rPr>
      </w:pPr>
      <w:r w:rsidRPr="0071056C">
        <w:rPr>
          <w:color w:val="000000"/>
        </w:rPr>
        <w:t>American Society for Radiation Oncology (ASTRO). Model Policy: Stereotactic body radiation therapy (SBRT).</w:t>
      </w:r>
      <w:r>
        <w:rPr>
          <w:color w:val="000000"/>
        </w:rPr>
        <w:t xml:space="preserve"> </w:t>
      </w:r>
      <w:hyperlink r:id="rId19" w:history="1">
        <w:r w:rsidRPr="00C2059D">
          <w:rPr>
            <w:rStyle w:val="Hyperlink"/>
          </w:rPr>
          <w:t>https://www.astro.org/ASTRO/media/ASTRO/Daily%20Practice/PDFs/ASTROSBRTModelPolicy.pdf</w:t>
        </w:r>
      </w:hyperlink>
      <w:r>
        <w:rPr>
          <w:color w:val="000000"/>
        </w:rPr>
        <w:t>.</w:t>
      </w:r>
      <w:r w:rsidRPr="0071056C">
        <w:rPr>
          <w:color w:val="000000"/>
        </w:rPr>
        <w:t xml:space="preserve"> Updated June 2020. Accessed </w:t>
      </w:r>
      <w:r>
        <w:rPr>
          <w:color w:val="000000"/>
        </w:rPr>
        <w:t>October 16, 2024</w:t>
      </w:r>
      <w:r w:rsidRPr="0071056C">
        <w:rPr>
          <w:color w:val="000000"/>
        </w:rPr>
        <w:t>.</w:t>
      </w:r>
    </w:p>
    <w:p w14:paraId="3811DE9F" w14:textId="55330BE5" w:rsidR="0071056C" w:rsidRPr="0071056C" w:rsidRDefault="0071056C" w:rsidP="00EE2EA8">
      <w:pPr>
        <w:pStyle w:val="ListParagraph"/>
        <w:numPr>
          <w:ilvl w:val="0"/>
          <w:numId w:val="21"/>
        </w:numPr>
        <w:ind w:left="360"/>
        <w:rPr>
          <w:bCs/>
        </w:rPr>
      </w:pPr>
      <w:bookmarkStart w:id="3" w:name="_Hlk179982791"/>
      <w:r w:rsidRPr="0025549C">
        <w:rPr>
          <w:bCs/>
        </w:rPr>
        <w:t xml:space="preserve">American Society for Radiation Oncology (ASTRO). Model Policy: </w:t>
      </w:r>
      <w:r w:rsidRPr="0071056C">
        <w:rPr>
          <w:bCs/>
        </w:rPr>
        <w:t>Stereotactic Radiosurgery (S</w:t>
      </w:r>
      <w:r>
        <w:rPr>
          <w:bCs/>
        </w:rPr>
        <w:t>RS</w:t>
      </w:r>
      <w:r w:rsidRPr="0071056C">
        <w:rPr>
          <w:bCs/>
        </w:rPr>
        <w:t>)</w:t>
      </w:r>
      <w:r w:rsidRPr="0025549C">
        <w:rPr>
          <w:bCs/>
        </w:rPr>
        <w:t>.</w:t>
      </w:r>
      <w:r>
        <w:rPr>
          <w:bCs/>
        </w:rPr>
        <w:t xml:space="preserve"> </w:t>
      </w:r>
      <w:hyperlink r:id="rId20" w:history="1">
        <w:r w:rsidRPr="00C2059D">
          <w:rPr>
            <w:rStyle w:val="Hyperlink"/>
            <w:bCs/>
          </w:rPr>
          <w:t>https://www.astro.org/ASTRO/media/ASTRO/Daily%20Practice/PDFs/ASTRO-SRS_ModelPolicy.pdf</w:t>
        </w:r>
      </w:hyperlink>
      <w:r>
        <w:rPr>
          <w:bCs/>
        </w:rPr>
        <w:t xml:space="preserve">. </w:t>
      </w:r>
      <w:r w:rsidRPr="0025549C">
        <w:rPr>
          <w:bCs/>
        </w:rPr>
        <w:t xml:space="preserve">Updated June 2020. Accessed </w:t>
      </w:r>
      <w:r>
        <w:rPr>
          <w:bCs/>
        </w:rPr>
        <w:t>October 16, 2024</w:t>
      </w:r>
      <w:r w:rsidRPr="0025549C">
        <w:rPr>
          <w:bCs/>
        </w:rPr>
        <w:t>.</w:t>
      </w:r>
    </w:p>
    <w:bookmarkEnd w:id="3"/>
    <w:p w14:paraId="55FC7652" w14:textId="77777777" w:rsidR="00DD6ADB" w:rsidRDefault="00DD6ADB" w:rsidP="00963062"/>
    <w:p w14:paraId="51540EF7" w14:textId="77777777" w:rsidR="00DD6ADB" w:rsidRPr="00146C6E" w:rsidRDefault="00C06257" w:rsidP="00146C6E">
      <w:pPr>
        <w:rPr>
          <w:rFonts w:eastAsiaTheme="minorHAnsi"/>
          <w:b/>
          <w:u w:val="single"/>
        </w:rPr>
      </w:pPr>
      <w:bookmarkStart w:id="4" w:name="Important_Reminder"/>
      <w:r w:rsidRPr="00146C6E">
        <w:rPr>
          <w:rFonts w:eastAsiaTheme="minorHAnsi"/>
          <w:b/>
          <w:bCs/>
          <w:u w:val="single"/>
        </w:rPr>
        <w:t>Important R</w:t>
      </w:r>
      <w:r w:rsidR="005D7B81" w:rsidRPr="00146C6E">
        <w:rPr>
          <w:rFonts w:eastAsiaTheme="minorHAnsi"/>
          <w:b/>
          <w:bCs/>
          <w:u w:val="single"/>
        </w:rPr>
        <w:t>eminder</w:t>
      </w:r>
      <w:bookmarkEnd w:id="4"/>
    </w:p>
    <w:p w14:paraId="20CEF824" w14:textId="77777777" w:rsidR="00DD6ADB" w:rsidRPr="00146C6E" w:rsidRDefault="00DD6ADB" w:rsidP="00146C6E">
      <w:pPr>
        <w:rPr>
          <w:rFonts w:eastAsiaTheme="minorHAnsi"/>
        </w:rPr>
      </w:pPr>
      <w:r w:rsidRPr="00146C6E">
        <w:rPr>
          <w:rFonts w:eastAsiaTheme="minorHAnsi"/>
        </w:rPr>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sidRPr="00146C6E">
        <w:rPr>
          <w:rFonts w:eastAsiaTheme="minorHAnsi"/>
          <w:iCs/>
        </w:rPr>
        <w:t>The Health Plan</w:t>
      </w:r>
      <w:r w:rsidRPr="00146C6E">
        <w:rPr>
          <w:rFonts w:eastAsiaTheme="minorHAnsi"/>
        </w:rPr>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“Health Plan” means a health plan that has adopted this clinical policy and that is operated or administered, in whole or in part, by Centene Management Company, LLC, or any of such health plan’s affiliates, as applicable.</w:t>
      </w:r>
    </w:p>
    <w:p w14:paraId="3F1251D3" w14:textId="77777777" w:rsidR="00DD6ADB" w:rsidRPr="00146C6E" w:rsidRDefault="00DD6ADB" w:rsidP="00146C6E">
      <w:pPr>
        <w:rPr>
          <w:rFonts w:eastAsiaTheme="minorHAnsi"/>
        </w:rPr>
      </w:pPr>
    </w:p>
    <w:p w14:paraId="3CD9CFD6" w14:textId="77777777" w:rsidR="00DD6ADB" w:rsidRPr="00146C6E" w:rsidRDefault="00DD6ADB" w:rsidP="00146C6E">
      <w:pPr>
        <w:rPr>
          <w:rFonts w:eastAsiaTheme="minorHAnsi"/>
        </w:rPr>
      </w:pPr>
      <w:r w:rsidRPr="00146C6E">
        <w:rPr>
          <w:rFonts w:eastAsiaTheme="minorHAnsi"/>
        </w:rPr>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0B0729D3" w14:textId="77777777" w:rsidR="00DD6ADB" w:rsidRPr="00146C6E" w:rsidRDefault="00DD6ADB" w:rsidP="00146C6E">
      <w:pPr>
        <w:rPr>
          <w:rFonts w:eastAsiaTheme="minorHAnsi"/>
        </w:rPr>
      </w:pPr>
    </w:p>
    <w:p w14:paraId="2CDC3867" w14:textId="77777777" w:rsidR="00DD6ADB" w:rsidRPr="00146C6E" w:rsidRDefault="00DD6ADB" w:rsidP="00146C6E">
      <w:pPr>
        <w:rPr>
          <w:color w:val="002868"/>
        </w:rPr>
      </w:pPr>
      <w:r w:rsidRPr="00146C6E">
        <w:rPr>
          <w:rFonts w:eastAsiaTheme="minorHAnsi"/>
        </w:rPr>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176C9C77" w14:textId="77777777" w:rsidR="00DD6ADB" w:rsidRPr="00146C6E" w:rsidRDefault="00DD6ADB" w:rsidP="00146C6E">
      <w:pPr>
        <w:rPr>
          <w:rFonts w:eastAsiaTheme="minorHAnsi"/>
        </w:rPr>
      </w:pPr>
    </w:p>
    <w:p w14:paraId="3CBB3AED" w14:textId="43688CE9" w:rsidR="00DD6ADB" w:rsidRPr="00146C6E" w:rsidRDefault="00DD6ADB" w:rsidP="00146C6E">
      <w:pPr>
        <w:rPr>
          <w:rFonts w:eastAsiaTheme="minorHAnsi"/>
        </w:rPr>
      </w:pPr>
      <w:r w:rsidRPr="00146C6E">
        <w:rPr>
          <w:rFonts w:eastAsiaTheme="minorHAnsi"/>
        </w:rPr>
        <w:t xml:space="preserve">This clinical policy does not constitute medical advice, medical treatment or medical care. It is not intended to dictate to providers how to practice medicine. Providers are expected to exercise professional medical judgment in providing the most appropriate care, and are solely responsible for the medical advice and treatment of </w:t>
      </w:r>
      <w:r w:rsidR="008D6CA9">
        <w:rPr>
          <w:rFonts w:eastAsiaTheme="minorHAnsi"/>
        </w:rPr>
        <w:t>members/enrollees</w:t>
      </w:r>
      <w:r w:rsidRPr="00146C6E">
        <w:rPr>
          <w:rFonts w:eastAsiaTheme="minorHAnsi"/>
        </w:rPr>
        <w:t xml:space="preserve">. This clinical policy is not intended to recommend treatment for </w:t>
      </w:r>
      <w:r w:rsidR="008D6CA9">
        <w:rPr>
          <w:rFonts w:eastAsiaTheme="minorHAnsi"/>
        </w:rPr>
        <w:t>members/enrollees</w:t>
      </w:r>
      <w:r w:rsidRPr="00146C6E">
        <w:rPr>
          <w:rFonts w:eastAsiaTheme="minorHAnsi"/>
        </w:rPr>
        <w:t xml:space="preserve">. </w:t>
      </w:r>
      <w:r w:rsidR="008D6CA9">
        <w:rPr>
          <w:rFonts w:eastAsiaTheme="minorHAnsi"/>
        </w:rPr>
        <w:t>Members/enrollees</w:t>
      </w:r>
      <w:r w:rsidRPr="00146C6E">
        <w:rPr>
          <w:rFonts w:eastAsiaTheme="minorHAnsi"/>
        </w:rPr>
        <w:t xml:space="preserve"> should consult with their treating physician in connection with diagnosis and treatment decisions. </w:t>
      </w:r>
    </w:p>
    <w:p w14:paraId="75D06AB0" w14:textId="77777777" w:rsidR="00DD6ADB" w:rsidRPr="00146C6E" w:rsidRDefault="00DD6ADB" w:rsidP="00146C6E">
      <w:pPr>
        <w:rPr>
          <w:rFonts w:eastAsiaTheme="minorHAnsi"/>
        </w:rPr>
      </w:pPr>
    </w:p>
    <w:p w14:paraId="5799E4E9" w14:textId="1CF29818" w:rsidR="00DD6ADB" w:rsidRPr="00146C6E" w:rsidRDefault="00DD6ADB" w:rsidP="00146C6E">
      <w:pPr>
        <w:rPr>
          <w:rFonts w:eastAsiaTheme="minorHAnsi"/>
        </w:rPr>
      </w:pPr>
      <w:r w:rsidRPr="00146C6E">
        <w:rPr>
          <w:rFonts w:eastAsiaTheme="minorHAnsi"/>
        </w:rPr>
        <w:t>Providers referred to in this clinical policy are independent contractors who exercise independent judgment and over whom the Health Plan has no control or right of control. Providers are not agents or employees of the Health Plan.</w:t>
      </w:r>
    </w:p>
    <w:p w14:paraId="45EFABF7" w14:textId="77777777" w:rsidR="00DD6ADB" w:rsidRPr="00146C6E" w:rsidRDefault="00DD6ADB" w:rsidP="00146C6E">
      <w:pPr>
        <w:rPr>
          <w:rFonts w:eastAsiaTheme="minorHAnsi"/>
        </w:rPr>
      </w:pPr>
    </w:p>
    <w:p w14:paraId="16A4FD19" w14:textId="21C19535" w:rsidR="00DD6ADB" w:rsidRPr="00146C6E" w:rsidRDefault="00DD6ADB" w:rsidP="00146C6E">
      <w:pPr>
        <w:rPr>
          <w:rFonts w:eastAsiaTheme="minorHAnsi"/>
        </w:rPr>
      </w:pPr>
      <w:r w:rsidRPr="00146C6E">
        <w:rPr>
          <w:rFonts w:eastAsiaTheme="minorHAnsi"/>
        </w:rPr>
        <w:t xml:space="preserve">This clinical policy is the property of </w:t>
      </w:r>
      <w:r w:rsidRPr="00146C6E">
        <w:rPr>
          <w:rFonts w:eastAsiaTheme="minorHAnsi"/>
          <w:iCs/>
        </w:rPr>
        <w:t>the Health Plan</w:t>
      </w:r>
      <w:r w:rsidRPr="00146C6E">
        <w:rPr>
          <w:rFonts w:eastAsiaTheme="minorHAnsi"/>
        </w:rPr>
        <w:t xml:space="preserve">. Unauthorized copying, use, and distribution of this clinical policy or any information contained herein are strictly prohibited.  Providers, </w:t>
      </w:r>
      <w:r w:rsidR="008D6CA9">
        <w:rPr>
          <w:rFonts w:eastAsiaTheme="minorHAnsi"/>
        </w:rPr>
        <w:t>members/enrollees</w:t>
      </w:r>
      <w:r w:rsidRPr="00146C6E">
        <w:rPr>
          <w:rFonts w:eastAsiaTheme="minorHAnsi"/>
        </w:rPr>
        <w:t xml:space="preserve"> and their representatives are bound to the terms and conditions expressed herein through the terms of their contracts. Where no such contract exists, providers, </w:t>
      </w:r>
      <w:r w:rsidR="008D6CA9">
        <w:rPr>
          <w:rFonts w:eastAsiaTheme="minorHAnsi"/>
        </w:rPr>
        <w:t>members/enrollees</w:t>
      </w:r>
      <w:r w:rsidRPr="00146C6E">
        <w:rPr>
          <w:rFonts w:eastAsiaTheme="minorHAnsi"/>
        </w:rPr>
        <w:t xml:space="preserve"> and their representatives agree to be bound by such terms and conditions by providing services to </w:t>
      </w:r>
      <w:r w:rsidR="008D6CA9">
        <w:rPr>
          <w:rFonts w:eastAsiaTheme="minorHAnsi"/>
        </w:rPr>
        <w:t>members/enrollees</w:t>
      </w:r>
      <w:r w:rsidRPr="00146C6E">
        <w:rPr>
          <w:rFonts w:eastAsiaTheme="minorHAnsi"/>
        </w:rPr>
        <w:t xml:space="preserve"> and/or submitting claims for payment for such services.  </w:t>
      </w:r>
    </w:p>
    <w:p w14:paraId="528E5DCE" w14:textId="77777777" w:rsidR="00DD6ADB" w:rsidRPr="00146C6E" w:rsidRDefault="00DD6ADB" w:rsidP="00146C6E">
      <w:pPr>
        <w:autoSpaceDE w:val="0"/>
        <w:autoSpaceDN w:val="0"/>
        <w:adjustRightInd w:val="0"/>
        <w:rPr>
          <w:rFonts w:eastAsiaTheme="minorHAnsi"/>
          <w:color w:val="000000"/>
        </w:rPr>
      </w:pPr>
    </w:p>
    <w:p w14:paraId="3AB18ABE" w14:textId="77777777" w:rsidR="00DD6ADB" w:rsidRPr="00146C6E" w:rsidRDefault="00DD6ADB" w:rsidP="00146C6E">
      <w:pPr>
        <w:autoSpaceDE w:val="0"/>
        <w:autoSpaceDN w:val="0"/>
        <w:adjustRightInd w:val="0"/>
        <w:rPr>
          <w:rFonts w:eastAsiaTheme="minorHAnsi"/>
          <w:color w:val="000000"/>
        </w:rPr>
      </w:pPr>
      <w:r w:rsidRPr="00146C6E">
        <w:rPr>
          <w:rFonts w:eastAsiaTheme="minorHAnsi"/>
          <w:b/>
          <w:color w:val="000000"/>
        </w:rPr>
        <w:t xml:space="preserve">Note: For Medicaid </w:t>
      </w:r>
      <w:r w:rsidR="008D6CA9">
        <w:rPr>
          <w:rFonts w:eastAsiaTheme="minorHAnsi"/>
          <w:b/>
          <w:color w:val="000000"/>
        </w:rPr>
        <w:t>members/enrollees</w:t>
      </w:r>
      <w:r w:rsidRPr="00146C6E">
        <w:rPr>
          <w:rFonts w:eastAsiaTheme="minorHAnsi"/>
          <w:color w:val="000000"/>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48246BDF" w14:textId="77777777" w:rsidR="00DD6ADB" w:rsidRPr="00146C6E" w:rsidRDefault="00DD6ADB" w:rsidP="00146C6E">
      <w:pPr>
        <w:rPr>
          <w:rFonts w:eastAsiaTheme="minorHAnsi"/>
        </w:rPr>
      </w:pPr>
    </w:p>
    <w:p w14:paraId="384B237A" w14:textId="77777777" w:rsidR="00DD6ADB" w:rsidRPr="00146C6E" w:rsidRDefault="00DD6ADB" w:rsidP="00146C6E">
      <w:pPr>
        <w:autoSpaceDE w:val="0"/>
        <w:autoSpaceDN w:val="0"/>
        <w:adjustRightInd w:val="0"/>
        <w:rPr>
          <w:color w:val="000000"/>
        </w:rPr>
      </w:pPr>
      <w:r w:rsidRPr="00146C6E">
        <w:rPr>
          <w:rFonts w:eastAsiaTheme="minorHAnsi"/>
          <w:b/>
          <w:bCs/>
          <w:color w:val="000000"/>
        </w:rPr>
        <w:t xml:space="preserve">Note: For Medicare </w:t>
      </w:r>
      <w:r w:rsidR="008D6CA9">
        <w:rPr>
          <w:rFonts w:eastAsiaTheme="minorHAnsi"/>
          <w:b/>
          <w:bCs/>
          <w:color w:val="000000"/>
        </w:rPr>
        <w:t>members/enrollees</w:t>
      </w:r>
      <w:r w:rsidRPr="00146C6E">
        <w:rPr>
          <w:rFonts w:eastAsiaTheme="minorHAnsi"/>
          <w:b/>
          <w:bCs/>
          <w:color w:val="000000"/>
        </w:rPr>
        <w:t xml:space="preserve">, </w:t>
      </w:r>
      <w:r w:rsidRPr="00146C6E">
        <w:rPr>
          <w:rFonts w:eastAsiaTheme="minorHAnsi"/>
          <w:color w:val="000000"/>
        </w:rPr>
        <w:t>to ensure consistency with the Medicare National Coverage Determinations (NCD) and Local Coverage Determinations (LCD), all applicable NCDs</w:t>
      </w:r>
      <w:r w:rsidR="002E5306">
        <w:rPr>
          <w:rFonts w:eastAsiaTheme="minorHAnsi"/>
          <w:color w:val="000000"/>
        </w:rPr>
        <w:t>,</w:t>
      </w:r>
      <w:r w:rsidRPr="00146C6E">
        <w:rPr>
          <w:rFonts w:eastAsiaTheme="minorHAnsi"/>
          <w:color w:val="000000"/>
        </w:rPr>
        <w:t xml:space="preserve"> LCDs</w:t>
      </w:r>
      <w:r w:rsidR="002E5306">
        <w:rPr>
          <w:rFonts w:eastAsiaTheme="minorHAnsi"/>
          <w:color w:val="000000"/>
        </w:rPr>
        <w:t xml:space="preserve">, and Medicare Coverage Articles </w:t>
      </w:r>
      <w:r w:rsidRPr="00146C6E">
        <w:rPr>
          <w:rFonts w:eastAsiaTheme="minorHAnsi"/>
          <w:color w:val="000000"/>
        </w:rPr>
        <w:t xml:space="preserve">should be reviewed </w:t>
      </w:r>
      <w:r w:rsidRPr="00146C6E">
        <w:rPr>
          <w:rFonts w:eastAsiaTheme="minorHAnsi"/>
          <w:color w:val="000000"/>
          <w:u w:val="single"/>
        </w:rPr>
        <w:t>prior to</w:t>
      </w:r>
      <w:r w:rsidRPr="00146C6E">
        <w:rPr>
          <w:rFonts w:eastAsiaTheme="minorHAnsi"/>
          <w:color w:val="000000"/>
        </w:rPr>
        <w:t xml:space="preserve"> applying the criteria set forth in this clinical policy. Refer to the CMS website at </w:t>
      </w:r>
      <w:hyperlink r:id="rId21" w:history="1">
        <w:r w:rsidRPr="00146C6E">
          <w:rPr>
            <w:rFonts w:eastAsiaTheme="minorHAnsi"/>
            <w:color w:val="000000"/>
            <w:u w:val="single"/>
          </w:rPr>
          <w:t>http://www.cms.gov</w:t>
        </w:r>
      </w:hyperlink>
      <w:r w:rsidRPr="00146C6E">
        <w:rPr>
          <w:rFonts w:eastAsiaTheme="minorHAnsi"/>
          <w:color w:val="000000"/>
        </w:rPr>
        <w:t xml:space="preserve"> for additional information.</w:t>
      </w:r>
      <w:r w:rsidRPr="00146C6E">
        <w:rPr>
          <w:color w:val="000000"/>
        </w:rPr>
        <w:t xml:space="preserve"> </w:t>
      </w:r>
    </w:p>
    <w:p w14:paraId="359CD484" w14:textId="77777777" w:rsidR="00875924" w:rsidRPr="00146C6E" w:rsidRDefault="00875924" w:rsidP="00146C6E">
      <w:pPr>
        <w:rPr>
          <w:iCs/>
        </w:rPr>
      </w:pPr>
    </w:p>
    <w:p w14:paraId="5C919395" w14:textId="191C2751" w:rsidR="00C75BD4" w:rsidRPr="00146C6E" w:rsidRDefault="00CB63DD" w:rsidP="00146C6E">
      <w:pPr>
        <w:rPr>
          <w:iCs/>
        </w:rPr>
      </w:pPr>
      <w:r>
        <w:rPr>
          <w:iCs/>
        </w:rPr>
        <w:t>©2018</w:t>
      </w:r>
      <w:r w:rsidR="00C75BD4" w:rsidRPr="00146C6E">
        <w:rPr>
          <w:iCs/>
        </w:rPr>
        <w:t xml:space="preserve"> Centene Corporation. All rights reserved. All materials are exclusively owned by Centene Corporation and are protected by United States copyright law and international copyright law. No part of this publication may be reproduced, copied, modified, distributed, displayed, stored in a retrieval system, transmitted in any form or by any means, or otherwise published without the prior written permission of Centene Corporation. You may not alter or remove any trademark, copyright or other notice contained herein. Centene</w:t>
      </w:r>
      <w:r w:rsidR="00C75BD4" w:rsidRPr="00146C6E">
        <w:rPr>
          <w:iCs/>
          <w:vertAlign w:val="superscript"/>
        </w:rPr>
        <w:t>®</w:t>
      </w:r>
      <w:r w:rsidR="00C75BD4" w:rsidRPr="00146C6E">
        <w:rPr>
          <w:iCs/>
        </w:rPr>
        <w:t xml:space="preserve"> and Centene Corporation</w:t>
      </w:r>
      <w:r w:rsidR="00C75BD4" w:rsidRPr="00146C6E">
        <w:rPr>
          <w:iCs/>
          <w:vertAlign w:val="superscript"/>
        </w:rPr>
        <w:t>®</w:t>
      </w:r>
      <w:r w:rsidR="00C75BD4" w:rsidRPr="00146C6E">
        <w:rPr>
          <w:iCs/>
        </w:rPr>
        <w:t xml:space="preserve"> are registered trademarks exclusively owned by Centene Corporation.</w:t>
      </w:r>
    </w:p>
    <w:p w14:paraId="57D7ADD8" w14:textId="77777777" w:rsidR="00C75BD4" w:rsidRDefault="00C75BD4" w:rsidP="00AF5490"/>
    <w:sectPr w:rsidR="00C75BD4" w:rsidSect="00CB63DD">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4FAD" w14:textId="77777777" w:rsidR="0067493B" w:rsidRDefault="0067493B">
      <w:r>
        <w:separator/>
      </w:r>
    </w:p>
  </w:endnote>
  <w:endnote w:type="continuationSeparator" w:id="0">
    <w:p w14:paraId="1CDBEB78" w14:textId="77777777" w:rsidR="0067493B" w:rsidRDefault="0067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0ED8" w14:textId="77777777" w:rsidR="00DD025A" w:rsidRPr="00D574CA" w:rsidRDefault="00D574CA" w:rsidP="00D574CA">
    <w:pPr>
      <w:pStyle w:val="Footer"/>
      <w:jc w:val="center"/>
    </w:pPr>
    <w:r>
      <w:t xml:space="preserve">Page </w:t>
    </w:r>
    <w:r>
      <w:rPr>
        <w:b/>
        <w:bCs/>
      </w:rPr>
      <w:fldChar w:fldCharType="begin"/>
    </w:r>
    <w:r>
      <w:rPr>
        <w:b/>
        <w:bCs/>
      </w:rPr>
      <w:instrText xml:space="preserve"> PAGE </w:instrText>
    </w:r>
    <w:r>
      <w:rPr>
        <w:b/>
        <w:bCs/>
      </w:rPr>
      <w:fldChar w:fldCharType="separate"/>
    </w:r>
    <w:r w:rsidR="00684B62">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684B62">
      <w:rPr>
        <w:b/>
        <w:bCs/>
        <w:noProof/>
      </w:rPr>
      <w:t>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5037" w14:textId="77777777" w:rsidR="002C6AAB" w:rsidRDefault="002C6AAB" w:rsidP="002C6AAB">
    <w:pPr>
      <w:pStyle w:val="Footer"/>
      <w:jc w:val="center"/>
    </w:pPr>
    <w:r>
      <w:t xml:space="preserve">Page </w:t>
    </w:r>
    <w:r>
      <w:fldChar w:fldCharType="begin"/>
    </w:r>
    <w:r>
      <w:instrText xml:space="preserve"> PAGE   \* MERGEFORMAT </w:instrText>
    </w:r>
    <w:r>
      <w:fldChar w:fldCharType="separate"/>
    </w:r>
    <w:r w:rsidR="00684B62">
      <w:rPr>
        <w:noProof/>
      </w:rPr>
      <w:t>1</w:t>
    </w:r>
    <w:r>
      <w:fldChar w:fldCharType="end"/>
    </w:r>
    <w:r>
      <w:t xml:space="preserve"> of </w:t>
    </w:r>
    <w:r w:rsidR="009D6060">
      <w:rPr>
        <w:noProof/>
      </w:rPr>
      <w:fldChar w:fldCharType="begin"/>
    </w:r>
    <w:r w:rsidR="009D6060">
      <w:rPr>
        <w:noProof/>
      </w:rPr>
      <w:instrText xml:space="preserve"> NUMPAGES   \* MERGEFORMAT </w:instrText>
    </w:r>
    <w:r w:rsidR="009D6060">
      <w:rPr>
        <w:noProof/>
      </w:rPr>
      <w:fldChar w:fldCharType="separate"/>
    </w:r>
    <w:r w:rsidR="00684B62">
      <w:rPr>
        <w:noProof/>
      </w:rPr>
      <w:t>3</w:t>
    </w:r>
    <w:r w:rsidR="009D606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623A" w14:textId="77777777" w:rsidR="0067493B" w:rsidRDefault="0067493B">
      <w:r>
        <w:separator/>
      </w:r>
    </w:p>
  </w:footnote>
  <w:footnote w:type="continuationSeparator" w:id="0">
    <w:p w14:paraId="728156FB" w14:textId="77777777" w:rsidR="0067493B" w:rsidRDefault="00674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50A3" w14:textId="77777777" w:rsidR="00D574CA" w:rsidRPr="00B777AF" w:rsidRDefault="00D574CA"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00B777AF" w:rsidRPr="00B777AF">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A20F73">
      <w:rPr>
        <w:noProof/>
        <w:color w:val="00548C"/>
      </w:rPr>
      <w:drawing>
        <wp:inline distT="0" distB="0" distL="0" distR="0" wp14:anchorId="4F6421B0" wp14:editId="4F6D2D7C">
          <wp:extent cx="914400" cy="238125"/>
          <wp:effectExtent l="0" t="0" r="0" b="9525"/>
          <wp:docPr id="1118159192"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09E64E11" w14:textId="099CC54F" w:rsidR="00DD025A" w:rsidRPr="00050632" w:rsidRDefault="00050632" w:rsidP="00050632">
    <w:pPr>
      <w:rPr>
        <w:rFonts w:ascii="Times New Roman Bold" w:hAnsi="Times New Roman Bold"/>
        <w:b/>
        <w:bCs/>
        <w:smallCaps/>
        <w:color w:val="00548C"/>
        <w:sz w:val="28"/>
      </w:rPr>
    </w:pPr>
    <w:r w:rsidRPr="00050632">
      <w:rPr>
        <w:rFonts w:ascii="Times New Roman Bold" w:hAnsi="Times New Roman Bold"/>
        <w:b/>
        <w:bCs/>
        <w:smallCaps/>
        <w:color w:val="00548C"/>
        <w:sz w:val="28"/>
      </w:rPr>
      <w:t>Stereotactic Radiation Therapy: Stereotactic Radiosurgery (SRS) and Stereotactic Body Radiation Therapy (SBRT)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D639" w14:textId="77777777" w:rsidR="009135E0" w:rsidRDefault="00A20F73" w:rsidP="00B777AF">
    <w:pPr>
      <w:pStyle w:val="Header"/>
      <w:jc w:val="right"/>
    </w:pPr>
    <w:r>
      <w:rPr>
        <w:noProof/>
      </w:rPr>
      <w:drawing>
        <wp:inline distT="0" distB="0" distL="0" distR="0" wp14:anchorId="2A76D201" wp14:editId="2B632FAE">
          <wp:extent cx="1371600" cy="352425"/>
          <wp:effectExtent l="0" t="0" r="0" b="9525"/>
          <wp:docPr id="1501009210" name="Picture 1501009210"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23FE1"/>
    <w:multiLevelType w:val="hybridMultilevel"/>
    <w:tmpl w:val="95206988"/>
    <w:lvl w:ilvl="0" w:tplc="FFFFFFFF">
      <w:start w:val="3"/>
      <w:numFmt w:val="upperRoman"/>
      <w:lvlText w:val="%1."/>
      <w:lvlJc w:val="left"/>
      <w:pPr>
        <w:ind w:left="720" w:hanging="360"/>
      </w:pPr>
      <w:rPr>
        <w:rFonts w:hint="default"/>
        <w:b/>
        <w:i w:val="0"/>
      </w:rPr>
    </w:lvl>
    <w:lvl w:ilvl="1" w:tplc="FFFFFFFF">
      <w:start w:val="1"/>
      <w:numFmt w:val="upperLetter"/>
      <w:lvlText w:val="%2."/>
      <w:lvlJc w:val="left"/>
      <w:pPr>
        <w:ind w:left="1440" w:hanging="360"/>
      </w:pPr>
    </w:lvl>
    <w:lvl w:ilvl="2" w:tplc="FFFFFFFF">
      <w:start w:val="1"/>
      <w:numFmt w:val="decimal"/>
      <w:lvlText w:val="%3."/>
      <w:lvlJc w:val="left"/>
      <w:pPr>
        <w:ind w:left="2160" w:hanging="180"/>
      </w:pPr>
    </w:lvl>
    <w:lvl w:ilvl="3" w:tplc="FFFFFFFF">
      <w:start w:val="1"/>
      <w:numFmt w:val="lowerLetter"/>
      <w:lvlText w:val="%4."/>
      <w:lvlJc w:val="left"/>
      <w:pPr>
        <w:ind w:left="2880" w:hanging="360"/>
      </w:pPr>
    </w:lvl>
    <w:lvl w:ilvl="4" w:tplc="FFFFFFFF">
      <w:start w:val="1"/>
      <w:numFmt w:val="lowerRoman"/>
      <w:lvlText w:val="%5."/>
      <w:lvlJc w:val="left"/>
      <w:pPr>
        <w:ind w:left="3600" w:hanging="360"/>
      </w:pPr>
      <w:rPr>
        <w:rFonts w:hint="default"/>
        <w:sz w:val="20"/>
      </w:rPr>
    </w:lvl>
    <w:lvl w:ilvl="5" w:tplc="FFFFFFFF">
      <w:start w:val="1"/>
      <w:numFmt w:val="lowerLetter"/>
      <w:lvlText w:val="%6)"/>
      <w:lvlJc w:val="lef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E7697"/>
    <w:multiLevelType w:val="hybridMultilevel"/>
    <w:tmpl w:val="96D8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E0E99"/>
    <w:multiLevelType w:val="hybridMultilevel"/>
    <w:tmpl w:val="5FFA82B8"/>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7A6984"/>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3764E"/>
    <w:multiLevelType w:val="multilevel"/>
    <w:tmpl w:val="D2A0F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5E500B2"/>
    <w:multiLevelType w:val="hybridMultilevel"/>
    <w:tmpl w:val="CB5AF886"/>
    <w:lvl w:ilvl="0" w:tplc="6CC06064">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01436"/>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75F0A"/>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51B1E"/>
    <w:multiLevelType w:val="hybridMultilevel"/>
    <w:tmpl w:val="B204E92A"/>
    <w:lvl w:ilvl="0" w:tplc="26CA68AC">
      <w:start w:val="1"/>
      <w:numFmt w:val="upperRoman"/>
      <w:lvlText w:val="%1."/>
      <w:lvlJc w:val="left"/>
      <w:pPr>
        <w:ind w:left="720" w:hanging="360"/>
      </w:pPr>
      <w:rPr>
        <w:rFonts w:hint="default"/>
        <w:b/>
      </w:rPr>
    </w:lvl>
    <w:lvl w:ilvl="1" w:tplc="56CC320A">
      <w:start w:val="1"/>
      <w:numFmt w:val="upperLetter"/>
      <w:lvlText w:val="%2."/>
      <w:lvlJc w:val="left"/>
      <w:pPr>
        <w:ind w:left="1440" w:hanging="360"/>
      </w:pPr>
      <w:rPr>
        <w:b/>
      </w:rPr>
    </w:lvl>
    <w:lvl w:ilvl="2" w:tplc="B0D8E88E">
      <w:start w:val="1"/>
      <w:numFmt w:val="decimal"/>
      <w:lvlText w:val="%3."/>
      <w:lvlJc w:val="left"/>
      <w:pPr>
        <w:ind w:left="2160" w:hanging="180"/>
      </w:pPr>
      <w:rPr>
        <w:b/>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3630D"/>
    <w:multiLevelType w:val="multilevel"/>
    <w:tmpl w:val="90047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497053"/>
    <w:multiLevelType w:val="hybridMultilevel"/>
    <w:tmpl w:val="BE262E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6063C"/>
    <w:multiLevelType w:val="hybridMultilevel"/>
    <w:tmpl w:val="04382478"/>
    <w:lvl w:ilvl="0" w:tplc="5C220D9E">
      <w:start w:val="1"/>
      <w:numFmt w:val="decimal"/>
      <w:lvlText w:val="%1."/>
      <w:lvlJc w:val="left"/>
      <w:pPr>
        <w:ind w:left="720" w:hanging="360"/>
      </w:pPr>
      <w:rPr>
        <w:rFonts w:hint="default"/>
        <w:b w:val="0"/>
      </w:rPr>
    </w:lvl>
    <w:lvl w:ilvl="1" w:tplc="6CC0606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B68E6"/>
    <w:multiLevelType w:val="hybridMultilevel"/>
    <w:tmpl w:val="F330294A"/>
    <w:lvl w:ilvl="0" w:tplc="D0FE5CC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3A231C77"/>
    <w:multiLevelType w:val="hybridMultilevel"/>
    <w:tmpl w:val="553682CE"/>
    <w:lvl w:ilvl="0" w:tplc="A244BB9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BE345C"/>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663F3"/>
    <w:multiLevelType w:val="multilevel"/>
    <w:tmpl w:val="3AFAD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60AA5"/>
    <w:multiLevelType w:val="hybridMultilevel"/>
    <w:tmpl w:val="95206988"/>
    <w:lvl w:ilvl="0" w:tplc="2542BFD6">
      <w:start w:val="3"/>
      <w:numFmt w:val="upperRoman"/>
      <w:lvlText w:val="%1."/>
      <w:lvlJc w:val="left"/>
      <w:pPr>
        <w:ind w:left="720" w:hanging="360"/>
      </w:pPr>
      <w:rPr>
        <w:rFonts w:hint="default"/>
        <w:b/>
        <w:i w:val="0"/>
      </w:rPr>
    </w:lvl>
    <w:lvl w:ilvl="1" w:tplc="FFFFFFFF">
      <w:start w:val="1"/>
      <w:numFmt w:val="upperLetter"/>
      <w:lvlText w:val="%2."/>
      <w:lvlJc w:val="left"/>
      <w:pPr>
        <w:ind w:left="1440" w:hanging="360"/>
      </w:pPr>
    </w:lvl>
    <w:lvl w:ilvl="2" w:tplc="FFFFFFFF">
      <w:start w:val="1"/>
      <w:numFmt w:val="decimal"/>
      <w:lvlText w:val="%3."/>
      <w:lvlJc w:val="left"/>
      <w:pPr>
        <w:ind w:left="2160" w:hanging="180"/>
      </w:pPr>
    </w:lvl>
    <w:lvl w:ilvl="3" w:tplc="FFFFFFFF">
      <w:start w:val="1"/>
      <w:numFmt w:val="lowerLetter"/>
      <w:lvlText w:val="%4."/>
      <w:lvlJc w:val="left"/>
      <w:pPr>
        <w:ind w:left="2880" w:hanging="360"/>
      </w:pPr>
    </w:lvl>
    <w:lvl w:ilvl="4" w:tplc="FFFFFFFF">
      <w:start w:val="1"/>
      <w:numFmt w:val="lowerRoman"/>
      <w:lvlText w:val="%5."/>
      <w:lvlJc w:val="left"/>
      <w:pPr>
        <w:ind w:left="3600" w:hanging="360"/>
      </w:pPr>
      <w:rPr>
        <w:rFonts w:hint="default"/>
        <w:sz w:val="20"/>
      </w:rPr>
    </w:lvl>
    <w:lvl w:ilvl="5" w:tplc="FFFFFFFF">
      <w:start w:val="1"/>
      <w:numFmt w:val="lowerLetter"/>
      <w:lvlText w:val="%6)"/>
      <w:lvlJc w:val="lef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D365D0"/>
    <w:multiLevelType w:val="hybridMultilevel"/>
    <w:tmpl w:val="D55A7940"/>
    <w:lvl w:ilvl="0" w:tplc="F85C9D98">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746AA"/>
    <w:multiLevelType w:val="hybridMultilevel"/>
    <w:tmpl w:val="7B9A47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4B72D1"/>
    <w:multiLevelType w:val="hybridMultilevel"/>
    <w:tmpl w:val="394C8146"/>
    <w:lvl w:ilvl="0" w:tplc="CB007DB6">
      <w:start w:val="1"/>
      <w:numFmt w:val="decimal"/>
      <w:lvlText w:val="%1."/>
      <w:lvlJc w:val="center"/>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D878BD"/>
    <w:multiLevelType w:val="hybridMultilevel"/>
    <w:tmpl w:val="92DC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B1A41"/>
    <w:multiLevelType w:val="hybridMultilevel"/>
    <w:tmpl w:val="C08E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1434D"/>
    <w:multiLevelType w:val="hybridMultilevel"/>
    <w:tmpl w:val="3806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00535"/>
    <w:multiLevelType w:val="hybridMultilevel"/>
    <w:tmpl w:val="0A581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27E1135"/>
    <w:multiLevelType w:val="hybridMultilevel"/>
    <w:tmpl w:val="C8E6BEF8"/>
    <w:lvl w:ilvl="0" w:tplc="159AF2A8">
      <w:start w:val="4"/>
      <w:numFmt w:val="upperRoman"/>
      <w:lvlText w:val="%1."/>
      <w:lvlJc w:val="left"/>
      <w:pPr>
        <w:ind w:left="144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E3D0A"/>
    <w:multiLevelType w:val="hybridMultilevel"/>
    <w:tmpl w:val="8524414C"/>
    <w:lvl w:ilvl="0" w:tplc="6BAC0802">
      <w:start w:val="1"/>
      <w:numFmt w:val="upperRoman"/>
      <w:lvlText w:val="%1."/>
      <w:lvlJc w:val="left"/>
      <w:pPr>
        <w:ind w:left="720" w:hanging="360"/>
      </w:pPr>
      <w:rPr>
        <w:rFonts w:hint="default"/>
        <w:b/>
        <w:i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58AADE0C">
      <w:start w:val="1"/>
      <w:numFmt w:val="lowerRoman"/>
      <w:lvlText w:val="%5."/>
      <w:lvlJc w:val="left"/>
      <w:pPr>
        <w:ind w:left="3600" w:hanging="360"/>
      </w:pPr>
      <w:rPr>
        <w:rFonts w:hint="default"/>
        <w:sz w:val="20"/>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A165BC"/>
    <w:multiLevelType w:val="hybridMultilevel"/>
    <w:tmpl w:val="95206988"/>
    <w:lvl w:ilvl="0" w:tplc="FFFFFFFF">
      <w:start w:val="3"/>
      <w:numFmt w:val="upperRoman"/>
      <w:lvlText w:val="%1."/>
      <w:lvlJc w:val="left"/>
      <w:pPr>
        <w:ind w:left="720" w:hanging="360"/>
      </w:pPr>
      <w:rPr>
        <w:rFonts w:hint="default"/>
        <w:b/>
        <w:i w:val="0"/>
      </w:rPr>
    </w:lvl>
    <w:lvl w:ilvl="1" w:tplc="FFFFFFFF">
      <w:start w:val="1"/>
      <w:numFmt w:val="upperLetter"/>
      <w:lvlText w:val="%2."/>
      <w:lvlJc w:val="left"/>
      <w:pPr>
        <w:ind w:left="1440" w:hanging="360"/>
      </w:pPr>
    </w:lvl>
    <w:lvl w:ilvl="2" w:tplc="FFFFFFFF">
      <w:start w:val="1"/>
      <w:numFmt w:val="decimal"/>
      <w:lvlText w:val="%3."/>
      <w:lvlJc w:val="left"/>
      <w:pPr>
        <w:ind w:left="2160" w:hanging="180"/>
      </w:pPr>
    </w:lvl>
    <w:lvl w:ilvl="3" w:tplc="FFFFFFFF">
      <w:start w:val="1"/>
      <w:numFmt w:val="lowerLetter"/>
      <w:lvlText w:val="%4."/>
      <w:lvlJc w:val="left"/>
      <w:pPr>
        <w:ind w:left="2880" w:hanging="360"/>
      </w:pPr>
    </w:lvl>
    <w:lvl w:ilvl="4" w:tplc="FFFFFFFF">
      <w:start w:val="1"/>
      <w:numFmt w:val="lowerRoman"/>
      <w:lvlText w:val="%5."/>
      <w:lvlJc w:val="left"/>
      <w:pPr>
        <w:ind w:left="3600" w:hanging="360"/>
      </w:pPr>
      <w:rPr>
        <w:rFonts w:hint="default"/>
        <w:sz w:val="20"/>
      </w:rPr>
    </w:lvl>
    <w:lvl w:ilvl="5" w:tplc="FFFFFFFF">
      <w:start w:val="1"/>
      <w:numFmt w:val="lowerLetter"/>
      <w:lvlText w:val="%6)"/>
      <w:lvlJc w:val="lef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6412152">
    <w:abstractNumId w:val="28"/>
  </w:num>
  <w:num w:numId="2" w16cid:durableId="1650136950">
    <w:abstractNumId w:val="0"/>
  </w:num>
  <w:num w:numId="3" w16cid:durableId="1943494074">
    <w:abstractNumId w:val="9"/>
  </w:num>
  <w:num w:numId="4" w16cid:durableId="1427843350">
    <w:abstractNumId w:val="13"/>
  </w:num>
  <w:num w:numId="5" w16cid:durableId="2098790470">
    <w:abstractNumId w:val="14"/>
  </w:num>
  <w:num w:numId="6" w16cid:durableId="1071544413">
    <w:abstractNumId w:val="23"/>
  </w:num>
  <w:num w:numId="7" w16cid:durableId="910509753">
    <w:abstractNumId w:val="24"/>
  </w:num>
  <w:num w:numId="8" w16cid:durableId="651444669">
    <w:abstractNumId w:val="2"/>
  </w:num>
  <w:num w:numId="9" w16cid:durableId="1227108189">
    <w:abstractNumId w:val="18"/>
  </w:num>
  <w:num w:numId="10" w16cid:durableId="2044555422">
    <w:abstractNumId w:val="7"/>
  </w:num>
  <w:num w:numId="11" w16cid:durableId="1881628821">
    <w:abstractNumId w:val="27"/>
  </w:num>
  <w:num w:numId="12" w16cid:durableId="1624966257">
    <w:abstractNumId w:val="12"/>
  </w:num>
  <w:num w:numId="13" w16cid:durableId="1436822392">
    <w:abstractNumId w:val="11"/>
  </w:num>
  <w:num w:numId="14" w16cid:durableId="95444565">
    <w:abstractNumId w:val="4"/>
  </w:num>
  <w:num w:numId="15" w16cid:durableId="2003510727">
    <w:abstractNumId w:val="8"/>
  </w:num>
  <w:num w:numId="16" w16cid:durableId="563637954">
    <w:abstractNumId w:val="25"/>
  </w:num>
  <w:num w:numId="17" w16cid:durableId="1363049897">
    <w:abstractNumId w:val="19"/>
  </w:num>
  <w:num w:numId="18" w16cid:durableId="911618751">
    <w:abstractNumId w:val="15"/>
  </w:num>
  <w:num w:numId="19" w16cid:durableId="781000511">
    <w:abstractNumId w:val="6"/>
  </w:num>
  <w:num w:numId="20" w16cid:durableId="1015109364">
    <w:abstractNumId w:val="3"/>
  </w:num>
  <w:num w:numId="21" w16cid:durableId="717634068">
    <w:abstractNumId w:val="22"/>
  </w:num>
  <w:num w:numId="22" w16cid:durableId="282227828">
    <w:abstractNumId w:val="10"/>
  </w:num>
  <w:num w:numId="23" w16cid:durableId="399862338">
    <w:abstractNumId w:val="17"/>
  </w:num>
  <w:num w:numId="24" w16cid:durableId="25179739">
    <w:abstractNumId w:val="16"/>
  </w:num>
  <w:num w:numId="25" w16cid:durableId="384528900">
    <w:abstractNumId w:val="29"/>
  </w:num>
  <w:num w:numId="26" w16cid:durableId="1597903277">
    <w:abstractNumId w:val="1"/>
  </w:num>
  <w:num w:numId="27" w16cid:durableId="1367172969">
    <w:abstractNumId w:val="26"/>
  </w:num>
  <w:num w:numId="28" w16cid:durableId="1353650909">
    <w:abstractNumId w:val="5"/>
  </w:num>
  <w:num w:numId="29" w16cid:durableId="1451166448">
    <w:abstractNumId w:val="21"/>
  </w:num>
  <w:num w:numId="30" w16cid:durableId="7506645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E9"/>
    <w:rsid w:val="000252BB"/>
    <w:rsid w:val="00032D3F"/>
    <w:rsid w:val="00042CFE"/>
    <w:rsid w:val="00045AD8"/>
    <w:rsid w:val="000465DE"/>
    <w:rsid w:val="0004733E"/>
    <w:rsid w:val="00050632"/>
    <w:rsid w:val="00060509"/>
    <w:rsid w:val="00071899"/>
    <w:rsid w:val="00083740"/>
    <w:rsid w:val="000857BC"/>
    <w:rsid w:val="00094136"/>
    <w:rsid w:val="000949C2"/>
    <w:rsid w:val="00097503"/>
    <w:rsid w:val="000A7C1C"/>
    <w:rsid w:val="000D29AB"/>
    <w:rsid w:val="000D5010"/>
    <w:rsid w:val="000E0904"/>
    <w:rsid w:val="000F026B"/>
    <w:rsid w:val="000F10C2"/>
    <w:rsid w:val="001148A8"/>
    <w:rsid w:val="00122E45"/>
    <w:rsid w:val="0014316D"/>
    <w:rsid w:val="00146C6E"/>
    <w:rsid w:val="00152462"/>
    <w:rsid w:val="00170B14"/>
    <w:rsid w:val="00172E90"/>
    <w:rsid w:val="00175619"/>
    <w:rsid w:val="001818D7"/>
    <w:rsid w:val="00185104"/>
    <w:rsid w:val="001962BE"/>
    <w:rsid w:val="00196689"/>
    <w:rsid w:val="00196935"/>
    <w:rsid w:val="0019746F"/>
    <w:rsid w:val="001C3E9A"/>
    <w:rsid w:val="001D0D34"/>
    <w:rsid w:val="001D70D4"/>
    <w:rsid w:val="001E3CC1"/>
    <w:rsid w:val="001E7D12"/>
    <w:rsid w:val="001F221E"/>
    <w:rsid w:val="0020675F"/>
    <w:rsid w:val="00212EDB"/>
    <w:rsid w:val="00213D9B"/>
    <w:rsid w:val="00220736"/>
    <w:rsid w:val="00230FE4"/>
    <w:rsid w:val="00232BA8"/>
    <w:rsid w:val="00233651"/>
    <w:rsid w:val="0024778C"/>
    <w:rsid w:val="00254020"/>
    <w:rsid w:val="0025452A"/>
    <w:rsid w:val="00257963"/>
    <w:rsid w:val="002843C9"/>
    <w:rsid w:val="00285997"/>
    <w:rsid w:val="0028681F"/>
    <w:rsid w:val="002A39EE"/>
    <w:rsid w:val="002A509D"/>
    <w:rsid w:val="002B0582"/>
    <w:rsid w:val="002C6AAB"/>
    <w:rsid w:val="002D019A"/>
    <w:rsid w:val="002D7037"/>
    <w:rsid w:val="002E01EE"/>
    <w:rsid w:val="002E48E7"/>
    <w:rsid w:val="002E5306"/>
    <w:rsid w:val="002F5910"/>
    <w:rsid w:val="003140D6"/>
    <w:rsid w:val="0031627F"/>
    <w:rsid w:val="003173D4"/>
    <w:rsid w:val="00336B8A"/>
    <w:rsid w:val="00336E37"/>
    <w:rsid w:val="00350F22"/>
    <w:rsid w:val="003840CC"/>
    <w:rsid w:val="003B0799"/>
    <w:rsid w:val="003C3EBB"/>
    <w:rsid w:val="003D44E6"/>
    <w:rsid w:val="003D69C7"/>
    <w:rsid w:val="003D7BE7"/>
    <w:rsid w:val="003E0C16"/>
    <w:rsid w:val="003E4A9D"/>
    <w:rsid w:val="003F3D44"/>
    <w:rsid w:val="00401E3B"/>
    <w:rsid w:val="00403A37"/>
    <w:rsid w:val="004136B6"/>
    <w:rsid w:val="00414DEE"/>
    <w:rsid w:val="004468A8"/>
    <w:rsid w:val="00453C03"/>
    <w:rsid w:val="00472C6C"/>
    <w:rsid w:val="00480C09"/>
    <w:rsid w:val="0048558B"/>
    <w:rsid w:val="00493710"/>
    <w:rsid w:val="00496BCF"/>
    <w:rsid w:val="00497AED"/>
    <w:rsid w:val="004B20E7"/>
    <w:rsid w:val="004C2757"/>
    <w:rsid w:val="004C2DD5"/>
    <w:rsid w:val="004C4946"/>
    <w:rsid w:val="004C6F14"/>
    <w:rsid w:val="004C7108"/>
    <w:rsid w:val="004E0B99"/>
    <w:rsid w:val="004F5B9D"/>
    <w:rsid w:val="004F6394"/>
    <w:rsid w:val="00505830"/>
    <w:rsid w:val="005103B8"/>
    <w:rsid w:val="00525D5F"/>
    <w:rsid w:val="005423D4"/>
    <w:rsid w:val="00542E9C"/>
    <w:rsid w:val="005465BB"/>
    <w:rsid w:val="00547052"/>
    <w:rsid w:val="005537B0"/>
    <w:rsid w:val="00561023"/>
    <w:rsid w:val="005776FD"/>
    <w:rsid w:val="00583376"/>
    <w:rsid w:val="00594926"/>
    <w:rsid w:val="005C17DF"/>
    <w:rsid w:val="005C3607"/>
    <w:rsid w:val="005C5583"/>
    <w:rsid w:val="005D009F"/>
    <w:rsid w:val="005D5146"/>
    <w:rsid w:val="005D7B81"/>
    <w:rsid w:val="005E13E1"/>
    <w:rsid w:val="005E411E"/>
    <w:rsid w:val="005F051C"/>
    <w:rsid w:val="00610106"/>
    <w:rsid w:val="006141A7"/>
    <w:rsid w:val="0061469C"/>
    <w:rsid w:val="0061723E"/>
    <w:rsid w:val="0062431F"/>
    <w:rsid w:val="00646C05"/>
    <w:rsid w:val="006474BB"/>
    <w:rsid w:val="00650389"/>
    <w:rsid w:val="00651297"/>
    <w:rsid w:val="0065290F"/>
    <w:rsid w:val="006543F0"/>
    <w:rsid w:val="006664E9"/>
    <w:rsid w:val="0067493B"/>
    <w:rsid w:val="00684B62"/>
    <w:rsid w:val="006A0C86"/>
    <w:rsid w:val="006A7BEB"/>
    <w:rsid w:val="006C5EA8"/>
    <w:rsid w:val="006C74DF"/>
    <w:rsid w:val="006E394E"/>
    <w:rsid w:val="006F4D70"/>
    <w:rsid w:val="0071056C"/>
    <w:rsid w:val="00715F71"/>
    <w:rsid w:val="007163E2"/>
    <w:rsid w:val="007405C6"/>
    <w:rsid w:val="00744250"/>
    <w:rsid w:val="00755B19"/>
    <w:rsid w:val="0075605D"/>
    <w:rsid w:val="00760382"/>
    <w:rsid w:val="00772335"/>
    <w:rsid w:val="007764CE"/>
    <w:rsid w:val="0077782E"/>
    <w:rsid w:val="007866E2"/>
    <w:rsid w:val="0079446B"/>
    <w:rsid w:val="007A0BCC"/>
    <w:rsid w:val="007B07AE"/>
    <w:rsid w:val="007B0D81"/>
    <w:rsid w:val="007B50D0"/>
    <w:rsid w:val="007C3247"/>
    <w:rsid w:val="007C4807"/>
    <w:rsid w:val="007C628A"/>
    <w:rsid w:val="007D4801"/>
    <w:rsid w:val="007E0EAE"/>
    <w:rsid w:val="007F1F19"/>
    <w:rsid w:val="008018E6"/>
    <w:rsid w:val="00813253"/>
    <w:rsid w:val="00821CFF"/>
    <w:rsid w:val="00855183"/>
    <w:rsid w:val="00857C10"/>
    <w:rsid w:val="00875924"/>
    <w:rsid w:val="00877EC7"/>
    <w:rsid w:val="00880313"/>
    <w:rsid w:val="008868D7"/>
    <w:rsid w:val="008912D1"/>
    <w:rsid w:val="00892021"/>
    <w:rsid w:val="00896E94"/>
    <w:rsid w:val="008B0705"/>
    <w:rsid w:val="008B66E5"/>
    <w:rsid w:val="008C6B3A"/>
    <w:rsid w:val="008C71B0"/>
    <w:rsid w:val="008D6CA9"/>
    <w:rsid w:val="008F10E6"/>
    <w:rsid w:val="008F567E"/>
    <w:rsid w:val="008F7096"/>
    <w:rsid w:val="00902C9B"/>
    <w:rsid w:val="009135E0"/>
    <w:rsid w:val="00915CA4"/>
    <w:rsid w:val="0092045F"/>
    <w:rsid w:val="0092180B"/>
    <w:rsid w:val="00922EAB"/>
    <w:rsid w:val="0093266A"/>
    <w:rsid w:val="009370D2"/>
    <w:rsid w:val="00941DB0"/>
    <w:rsid w:val="00941E39"/>
    <w:rsid w:val="009437C2"/>
    <w:rsid w:val="0094631A"/>
    <w:rsid w:val="00950820"/>
    <w:rsid w:val="00951D02"/>
    <w:rsid w:val="00961071"/>
    <w:rsid w:val="0096175B"/>
    <w:rsid w:val="00962B0A"/>
    <w:rsid w:val="00963062"/>
    <w:rsid w:val="009735FA"/>
    <w:rsid w:val="00977ECA"/>
    <w:rsid w:val="00982180"/>
    <w:rsid w:val="00984C8A"/>
    <w:rsid w:val="009928B2"/>
    <w:rsid w:val="009958E5"/>
    <w:rsid w:val="009C1DB3"/>
    <w:rsid w:val="009C5A91"/>
    <w:rsid w:val="009C61B2"/>
    <w:rsid w:val="009D5928"/>
    <w:rsid w:val="009D6060"/>
    <w:rsid w:val="009E6E39"/>
    <w:rsid w:val="009E6F29"/>
    <w:rsid w:val="009F0703"/>
    <w:rsid w:val="00A20758"/>
    <w:rsid w:val="00A20F73"/>
    <w:rsid w:val="00A41969"/>
    <w:rsid w:val="00A60413"/>
    <w:rsid w:val="00A62171"/>
    <w:rsid w:val="00A735C8"/>
    <w:rsid w:val="00A83658"/>
    <w:rsid w:val="00A85489"/>
    <w:rsid w:val="00A87B1F"/>
    <w:rsid w:val="00AA336E"/>
    <w:rsid w:val="00AA428E"/>
    <w:rsid w:val="00AB69AF"/>
    <w:rsid w:val="00AC71AB"/>
    <w:rsid w:val="00AD1AA6"/>
    <w:rsid w:val="00AF1F2A"/>
    <w:rsid w:val="00AF30EF"/>
    <w:rsid w:val="00AF5490"/>
    <w:rsid w:val="00B15B7C"/>
    <w:rsid w:val="00B24BF5"/>
    <w:rsid w:val="00B41E81"/>
    <w:rsid w:val="00B4500E"/>
    <w:rsid w:val="00B4633B"/>
    <w:rsid w:val="00B6459E"/>
    <w:rsid w:val="00B66364"/>
    <w:rsid w:val="00B777AF"/>
    <w:rsid w:val="00B8063A"/>
    <w:rsid w:val="00B81789"/>
    <w:rsid w:val="00B82396"/>
    <w:rsid w:val="00B9123E"/>
    <w:rsid w:val="00B92DF1"/>
    <w:rsid w:val="00BC4125"/>
    <w:rsid w:val="00BC7E3C"/>
    <w:rsid w:val="00BD7C4B"/>
    <w:rsid w:val="00BE796B"/>
    <w:rsid w:val="00BF4150"/>
    <w:rsid w:val="00C01AA6"/>
    <w:rsid w:val="00C0274F"/>
    <w:rsid w:val="00C06257"/>
    <w:rsid w:val="00C079B0"/>
    <w:rsid w:val="00C14250"/>
    <w:rsid w:val="00C142A3"/>
    <w:rsid w:val="00C145D2"/>
    <w:rsid w:val="00C14A04"/>
    <w:rsid w:val="00C2297C"/>
    <w:rsid w:val="00C25471"/>
    <w:rsid w:val="00C3218B"/>
    <w:rsid w:val="00C44FDC"/>
    <w:rsid w:val="00C64BB4"/>
    <w:rsid w:val="00C70155"/>
    <w:rsid w:val="00C732A2"/>
    <w:rsid w:val="00C73CF5"/>
    <w:rsid w:val="00C75BD4"/>
    <w:rsid w:val="00C96847"/>
    <w:rsid w:val="00CA53B9"/>
    <w:rsid w:val="00CA5C08"/>
    <w:rsid w:val="00CB63DD"/>
    <w:rsid w:val="00CC0549"/>
    <w:rsid w:val="00CC2168"/>
    <w:rsid w:val="00CC3682"/>
    <w:rsid w:val="00CD51EE"/>
    <w:rsid w:val="00CF2624"/>
    <w:rsid w:val="00D15803"/>
    <w:rsid w:val="00D33ACE"/>
    <w:rsid w:val="00D361A1"/>
    <w:rsid w:val="00D36448"/>
    <w:rsid w:val="00D466FD"/>
    <w:rsid w:val="00D473DE"/>
    <w:rsid w:val="00D51E4A"/>
    <w:rsid w:val="00D574CA"/>
    <w:rsid w:val="00D71BC4"/>
    <w:rsid w:val="00D902A9"/>
    <w:rsid w:val="00DA1066"/>
    <w:rsid w:val="00DB1DE9"/>
    <w:rsid w:val="00DB1F49"/>
    <w:rsid w:val="00DB5AC8"/>
    <w:rsid w:val="00DB7073"/>
    <w:rsid w:val="00DD025A"/>
    <w:rsid w:val="00DD6ADB"/>
    <w:rsid w:val="00DD7D7A"/>
    <w:rsid w:val="00DE18E2"/>
    <w:rsid w:val="00DF721B"/>
    <w:rsid w:val="00DF7BCF"/>
    <w:rsid w:val="00E402AF"/>
    <w:rsid w:val="00E50276"/>
    <w:rsid w:val="00E52AD4"/>
    <w:rsid w:val="00E63507"/>
    <w:rsid w:val="00E71EB9"/>
    <w:rsid w:val="00E97C17"/>
    <w:rsid w:val="00EA2E0E"/>
    <w:rsid w:val="00EA3809"/>
    <w:rsid w:val="00EC1A7E"/>
    <w:rsid w:val="00ED0A0D"/>
    <w:rsid w:val="00EE2EA8"/>
    <w:rsid w:val="00F03DC0"/>
    <w:rsid w:val="00F2705D"/>
    <w:rsid w:val="00F35E05"/>
    <w:rsid w:val="00F422E1"/>
    <w:rsid w:val="00F65526"/>
    <w:rsid w:val="00F67BBD"/>
    <w:rsid w:val="00F71F8E"/>
    <w:rsid w:val="00F74762"/>
    <w:rsid w:val="00F74FF4"/>
    <w:rsid w:val="00F8650F"/>
    <w:rsid w:val="00F93CB8"/>
    <w:rsid w:val="00F95133"/>
    <w:rsid w:val="00FA140A"/>
    <w:rsid w:val="00FB0592"/>
    <w:rsid w:val="00FB0BA6"/>
    <w:rsid w:val="00FB139B"/>
    <w:rsid w:val="00FB480E"/>
    <w:rsid w:val="00FE2079"/>
    <w:rsid w:val="00FE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FC669"/>
  <w15:docId w15:val="{28B7CD33-026A-4B55-9909-890C2381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b/>
      <w:bCs/>
      <w:sz w:val="20"/>
      <w:szCs w:val="1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szCs w:val="20"/>
    </w:rPr>
  </w:style>
  <w:style w:type="paragraph" w:styleId="Heading6">
    <w:name w:val="heading 6"/>
    <w:basedOn w:val="Normal"/>
    <w:next w:val="Normal"/>
    <w:qFormat/>
    <w:pPr>
      <w:keepNext/>
      <w:tabs>
        <w:tab w:val="num" w:pos="0"/>
      </w:tabs>
      <w:jc w:val="center"/>
      <w:outlineLvl w:val="5"/>
    </w:pPr>
    <w:rPr>
      <w:b/>
      <w:szCs w:val="20"/>
    </w:rPr>
  </w:style>
  <w:style w:type="paragraph" w:styleId="Heading7">
    <w:name w:val="heading 7"/>
    <w:basedOn w:val="Normal"/>
    <w:next w:val="Normal"/>
    <w:qFormat/>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Cs w:val="20"/>
    </w:rPr>
  </w:style>
  <w:style w:type="character" w:customStyle="1" w:styleId="EmailStyle20">
    <w:name w:val="EmailStyle20"/>
    <w:rPr>
      <w:rFonts w:ascii="Arial" w:hAnsi="Arial" w:cs="Arial"/>
      <w:color w:val="000000"/>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Pr>
      <w:b/>
      <w:bCs/>
    </w:rPr>
  </w:style>
  <w:style w:type="character" w:styleId="Hyperlink">
    <w:name w:val="Hyperlink"/>
    <w:rsid w:val="004E0B99"/>
    <w:rPr>
      <w:color w:val="0000FF"/>
      <w:u w:val="single"/>
    </w:rPr>
  </w:style>
  <w:style w:type="character" w:styleId="FollowedHyperlink">
    <w:name w:val="FollowedHyperlink"/>
    <w:rsid w:val="00AF1F2A"/>
    <w:rPr>
      <w:color w:val="800080"/>
      <w:u w:val="single"/>
    </w:rPr>
  </w:style>
  <w:style w:type="paragraph" w:styleId="BalloonText">
    <w:name w:val="Balloon Text"/>
    <w:basedOn w:val="Normal"/>
    <w:semiHidden/>
    <w:rsid w:val="00A87B1F"/>
    <w:rPr>
      <w:rFonts w:ascii="Tahoma" w:hAnsi="Tahoma" w:cs="Tahoma"/>
      <w:sz w:val="16"/>
      <w:szCs w:val="16"/>
    </w:rPr>
  </w:style>
  <w:style w:type="table" w:styleId="TableTheme">
    <w:name w:val="Table Theme"/>
    <w:basedOn w:val="TableNormal"/>
    <w:rsid w:val="00D3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rsid w:val="00D574CA"/>
    <w:pPr>
      <w:widowControl w:val="0"/>
      <w:spacing w:after="200" w:line="276" w:lineRule="auto"/>
    </w:pPr>
    <w:rPr>
      <w:rFonts w:ascii="Arial Narrow" w:hAnsi="Arial Narrow"/>
      <w:noProof/>
      <w:color w:val="11406B"/>
      <w:sz w:val="48"/>
      <w:szCs w:val="48"/>
    </w:rPr>
  </w:style>
  <w:style w:type="character" w:customStyle="1" w:styleId="FooterChar">
    <w:name w:val="Footer Char"/>
    <w:link w:val="Footer"/>
    <w:uiPriority w:val="99"/>
    <w:rsid w:val="00D574CA"/>
    <w:rPr>
      <w:sz w:val="24"/>
      <w:szCs w:val="24"/>
    </w:rPr>
  </w:style>
  <w:style w:type="table" w:styleId="LightList-Accent1">
    <w:name w:val="Light List Accent 1"/>
    <w:basedOn w:val="TableNormal"/>
    <w:uiPriority w:val="61"/>
    <w:rsid w:val="005423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B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3D44"/>
    <w:rPr>
      <w:sz w:val="16"/>
      <w:szCs w:val="16"/>
    </w:rPr>
  </w:style>
  <w:style w:type="paragraph" w:styleId="CommentText">
    <w:name w:val="annotation text"/>
    <w:basedOn w:val="Normal"/>
    <w:link w:val="CommentTextChar"/>
    <w:rsid w:val="003F3D44"/>
    <w:rPr>
      <w:sz w:val="20"/>
      <w:szCs w:val="20"/>
    </w:rPr>
  </w:style>
  <w:style w:type="character" w:customStyle="1" w:styleId="CommentTextChar">
    <w:name w:val="Comment Text Char"/>
    <w:basedOn w:val="DefaultParagraphFont"/>
    <w:link w:val="CommentText"/>
    <w:rsid w:val="003F3D44"/>
  </w:style>
  <w:style w:type="paragraph" w:styleId="CommentSubject">
    <w:name w:val="annotation subject"/>
    <w:basedOn w:val="CommentText"/>
    <w:next w:val="CommentText"/>
    <w:link w:val="CommentSubjectChar"/>
    <w:rsid w:val="003F3D44"/>
    <w:rPr>
      <w:b/>
      <w:bCs/>
    </w:rPr>
  </w:style>
  <w:style w:type="character" w:customStyle="1" w:styleId="CommentSubjectChar">
    <w:name w:val="Comment Subject Char"/>
    <w:basedOn w:val="CommentTextChar"/>
    <w:link w:val="CommentSubject"/>
    <w:rsid w:val="003F3D44"/>
    <w:rPr>
      <w:b/>
      <w:bCs/>
    </w:rPr>
  </w:style>
  <w:style w:type="paragraph" w:styleId="ListParagraph">
    <w:name w:val="List Paragraph"/>
    <w:basedOn w:val="Normal"/>
    <w:uiPriority w:val="34"/>
    <w:qFormat/>
    <w:rsid w:val="007163E2"/>
    <w:pPr>
      <w:ind w:left="720"/>
      <w:contextualSpacing/>
    </w:pPr>
  </w:style>
  <w:style w:type="paragraph" w:styleId="Revision">
    <w:name w:val="Revision"/>
    <w:hidden/>
    <w:uiPriority w:val="99"/>
    <w:semiHidden/>
    <w:rsid w:val="00525D5F"/>
    <w:rPr>
      <w:sz w:val="24"/>
      <w:szCs w:val="24"/>
    </w:rPr>
  </w:style>
  <w:style w:type="table" w:styleId="ListTable3-Accent1">
    <w:name w:val="List Table 3 Accent 1"/>
    <w:basedOn w:val="TableNormal"/>
    <w:uiPriority w:val="48"/>
    <w:rsid w:val="0056102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ui-provider">
    <w:name w:val="ui-provider"/>
    <w:basedOn w:val="DefaultParagraphFont"/>
    <w:rsid w:val="00FB0BA6"/>
  </w:style>
  <w:style w:type="character" w:styleId="UnresolvedMention">
    <w:name w:val="Unresolved Mention"/>
    <w:basedOn w:val="DefaultParagraphFont"/>
    <w:uiPriority w:val="99"/>
    <w:semiHidden/>
    <w:unhideWhenUsed/>
    <w:rsid w:val="00414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9371">
      <w:bodyDiv w:val="1"/>
      <w:marLeft w:val="0"/>
      <w:marRight w:val="0"/>
      <w:marTop w:val="0"/>
      <w:marBottom w:val="0"/>
      <w:divBdr>
        <w:top w:val="none" w:sz="0" w:space="0" w:color="auto"/>
        <w:left w:val="none" w:sz="0" w:space="0" w:color="auto"/>
        <w:bottom w:val="none" w:sz="0" w:space="0" w:color="auto"/>
        <w:right w:val="none" w:sz="0" w:space="0" w:color="auto"/>
      </w:divBdr>
    </w:div>
    <w:div w:id="256985947">
      <w:bodyDiv w:val="1"/>
      <w:marLeft w:val="0"/>
      <w:marRight w:val="0"/>
      <w:marTop w:val="0"/>
      <w:marBottom w:val="0"/>
      <w:divBdr>
        <w:top w:val="none" w:sz="0" w:space="0" w:color="auto"/>
        <w:left w:val="none" w:sz="0" w:space="0" w:color="auto"/>
        <w:bottom w:val="none" w:sz="0" w:space="0" w:color="auto"/>
        <w:right w:val="none" w:sz="0" w:space="0" w:color="auto"/>
      </w:divBdr>
    </w:div>
    <w:div w:id="258832160">
      <w:bodyDiv w:val="1"/>
      <w:marLeft w:val="0"/>
      <w:marRight w:val="0"/>
      <w:marTop w:val="0"/>
      <w:marBottom w:val="0"/>
      <w:divBdr>
        <w:top w:val="none" w:sz="0" w:space="0" w:color="auto"/>
        <w:left w:val="none" w:sz="0" w:space="0" w:color="auto"/>
        <w:bottom w:val="none" w:sz="0" w:space="0" w:color="auto"/>
        <w:right w:val="none" w:sz="0" w:space="0" w:color="auto"/>
      </w:divBdr>
    </w:div>
    <w:div w:id="280455283">
      <w:bodyDiv w:val="1"/>
      <w:marLeft w:val="0"/>
      <w:marRight w:val="0"/>
      <w:marTop w:val="0"/>
      <w:marBottom w:val="0"/>
      <w:divBdr>
        <w:top w:val="none" w:sz="0" w:space="0" w:color="auto"/>
        <w:left w:val="none" w:sz="0" w:space="0" w:color="auto"/>
        <w:bottom w:val="none" w:sz="0" w:space="0" w:color="auto"/>
        <w:right w:val="none" w:sz="0" w:space="0" w:color="auto"/>
      </w:divBdr>
    </w:div>
    <w:div w:id="300186892">
      <w:bodyDiv w:val="1"/>
      <w:marLeft w:val="0"/>
      <w:marRight w:val="0"/>
      <w:marTop w:val="0"/>
      <w:marBottom w:val="0"/>
      <w:divBdr>
        <w:top w:val="none" w:sz="0" w:space="0" w:color="auto"/>
        <w:left w:val="none" w:sz="0" w:space="0" w:color="auto"/>
        <w:bottom w:val="none" w:sz="0" w:space="0" w:color="auto"/>
        <w:right w:val="none" w:sz="0" w:space="0" w:color="auto"/>
      </w:divBdr>
    </w:div>
    <w:div w:id="327828379">
      <w:bodyDiv w:val="1"/>
      <w:marLeft w:val="0"/>
      <w:marRight w:val="0"/>
      <w:marTop w:val="0"/>
      <w:marBottom w:val="0"/>
      <w:divBdr>
        <w:top w:val="none" w:sz="0" w:space="0" w:color="auto"/>
        <w:left w:val="none" w:sz="0" w:space="0" w:color="auto"/>
        <w:bottom w:val="none" w:sz="0" w:space="0" w:color="auto"/>
        <w:right w:val="none" w:sz="0" w:space="0" w:color="auto"/>
      </w:divBdr>
    </w:div>
    <w:div w:id="370348475">
      <w:bodyDiv w:val="1"/>
      <w:marLeft w:val="0"/>
      <w:marRight w:val="0"/>
      <w:marTop w:val="0"/>
      <w:marBottom w:val="0"/>
      <w:divBdr>
        <w:top w:val="none" w:sz="0" w:space="0" w:color="auto"/>
        <w:left w:val="none" w:sz="0" w:space="0" w:color="auto"/>
        <w:bottom w:val="none" w:sz="0" w:space="0" w:color="auto"/>
        <w:right w:val="none" w:sz="0" w:space="0" w:color="auto"/>
      </w:divBdr>
    </w:div>
    <w:div w:id="557403412">
      <w:bodyDiv w:val="1"/>
      <w:marLeft w:val="0"/>
      <w:marRight w:val="0"/>
      <w:marTop w:val="0"/>
      <w:marBottom w:val="0"/>
      <w:divBdr>
        <w:top w:val="none" w:sz="0" w:space="0" w:color="auto"/>
        <w:left w:val="none" w:sz="0" w:space="0" w:color="auto"/>
        <w:bottom w:val="none" w:sz="0" w:space="0" w:color="auto"/>
        <w:right w:val="none" w:sz="0" w:space="0" w:color="auto"/>
      </w:divBdr>
    </w:div>
    <w:div w:id="661007942">
      <w:bodyDiv w:val="1"/>
      <w:marLeft w:val="0"/>
      <w:marRight w:val="0"/>
      <w:marTop w:val="0"/>
      <w:marBottom w:val="0"/>
      <w:divBdr>
        <w:top w:val="none" w:sz="0" w:space="0" w:color="auto"/>
        <w:left w:val="none" w:sz="0" w:space="0" w:color="auto"/>
        <w:bottom w:val="none" w:sz="0" w:space="0" w:color="auto"/>
        <w:right w:val="none" w:sz="0" w:space="0" w:color="auto"/>
      </w:divBdr>
    </w:div>
    <w:div w:id="1124691593">
      <w:bodyDiv w:val="1"/>
      <w:marLeft w:val="0"/>
      <w:marRight w:val="0"/>
      <w:marTop w:val="0"/>
      <w:marBottom w:val="0"/>
      <w:divBdr>
        <w:top w:val="none" w:sz="0" w:space="0" w:color="auto"/>
        <w:left w:val="none" w:sz="0" w:space="0" w:color="auto"/>
        <w:bottom w:val="none" w:sz="0" w:space="0" w:color="auto"/>
        <w:right w:val="none" w:sz="0" w:space="0" w:color="auto"/>
      </w:divBdr>
      <w:divsChild>
        <w:div w:id="421417658">
          <w:marLeft w:val="0"/>
          <w:marRight w:val="0"/>
          <w:marTop w:val="0"/>
          <w:marBottom w:val="0"/>
          <w:divBdr>
            <w:top w:val="none" w:sz="0" w:space="0" w:color="auto"/>
            <w:left w:val="none" w:sz="0" w:space="0" w:color="auto"/>
            <w:bottom w:val="none" w:sz="0" w:space="0" w:color="auto"/>
            <w:right w:val="none" w:sz="0" w:space="0" w:color="auto"/>
          </w:divBdr>
        </w:div>
        <w:div w:id="1452554935">
          <w:marLeft w:val="0"/>
          <w:marRight w:val="0"/>
          <w:marTop w:val="0"/>
          <w:marBottom w:val="0"/>
          <w:divBdr>
            <w:top w:val="none" w:sz="0" w:space="0" w:color="auto"/>
            <w:left w:val="none" w:sz="0" w:space="0" w:color="auto"/>
            <w:bottom w:val="none" w:sz="0" w:space="0" w:color="auto"/>
            <w:right w:val="none" w:sz="0" w:space="0" w:color="auto"/>
          </w:divBdr>
        </w:div>
      </w:divsChild>
    </w:div>
    <w:div w:id="1137530516">
      <w:bodyDiv w:val="1"/>
      <w:marLeft w:val="0"/>
      <w:marRight w:val="0"/>
      <w:marTop w:val="0"/>
      <w:marBottom w:val="0"/>
      <w:divBdr>
        <w:top w:val="none" w:sz="0" w:space="0" w:color="auto"/>
        <w:left w:val="none" w:sz="0" w:space="0" w:color="auto"/>
        <w:bottom w:val="none" w:sz="0" w:space="0" w:color="auto"/>
        <w:right w:val="none" w:sz="0" w:space="0" w:color="auto"/>
      </w:divBdr>
    </w:div>
    <w:div w:id="1197619688">
      <w:bodyDiv w:val="1"/>
      <w:marLeft w:val="0"/>
      <w:marRight w:val="0"/>
      <w:marTop w:val="0"/>
      <w:marBottom w:val="0"/>
      <w:divBdr>
        <w:top w:val="none" w:sz="0" w:space="0" w:color="auto"/>
        <w:left w:val="none" w:sz="0" w:space="0" w:color="auto"/>
        <w:bottom w:val="none" w:sz="0" w:space="0" w:color="auto"/>
        <w:right w:val="none" w:sz="0" w:space="0" w:color="auto"/>
      </w:divBdr>
    </w:div>
    <w:div w:id="1228032054">
      <w:bodyDiv w:val="1"/>
      <w:marLeft w:val="0"/>
      <w:marRight w:val="0"/>
      <w:marTop w:val="0"/>
      <w:marBottom w:val="0"/>
      <w:divBdr>
        <w:top w:val="none" w:sz="0" w:space="0" w:color="auto"/>
        <w:left w:val="none" w:sz="0" w:space="0" w:color="auto"/>
        <w:bottom w:val="none" w:sz="0" w:space="0" w:color="auto"/>
        <w:right w:val="none" w:sz="0" w:space="0" w:color="auto"/>
      </w:divBdr>
    </w:div>
    <w:div w:id="1850367841">
      <w:bodyDiv w:val="1"/>
      <w:marLeft w:val="0"/>
      <w:marRight w:val="0"/>
      <w:marTop w:val="0"/>
      <w:marBottom w:val="0"/>
      <w:divBdr>
        <w:top w:val="none" w:sz="0" w:space="0" w:color="auto"/>
        <w:left w:val="none" w:sz="0" w:space="0" w:color="auto"/>
        <w:bottom w:val="none" w:sz="0" w:space="0" w:color="auto"/>
        <w:right w:val="none" w:sz="0" w:space="0" w:color="auto"/>
      </w:divBdr>
    </w:div>
    <w:div w:id="2090619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my.clevelandclinic.org/health/treatments/22298-stereotactic-body-radiation-therapy-sbrt" TargetMode="External"/><Relationship Id="rId3" Type="http://schemas.openxmlformats.org/officeDocument/2006/relationships/customXml" Target="../customXml/item3.xml"/><Relationship Id="rId21" Type="http://schemas.openxmlformats.org/officeDocument/2006/relationships/hyperlink" Target="http://www.cms.gov"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nccn.org/professionals/physician_gls/pdf/cns.pdf" TargetMode="External"/><Relationship Id="rId2" Type="http://schemas.openxmlformats.org/officeDocument/2006/relationships/customXml" Target="../customXml/item2.xml"/><Relationship Id="rId16" Type="http://schemas.openxmlformats.org/officeDocument/2006/relationships/hyperlink" Target="http://www.uptodate.com" TargetMode="External"/><Relationship Id="rId20" Type="http://schemas.openxmlformats.org/officeDocument/2006/relationships/hyperlink" Target="https://www.astro.org/ASTRO/media/ASTRO/Daily%20Practice/PDFs/ASTRO-SRS_ModelPolicy.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cms.hhs.gov/mcd/search.asp"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astro.org/ASTRO/media/ASTRO/Daily%20Practice/PDFs/ASTROSBRTModel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ms.hhs.gov/mcd/search.as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BAA7D-3083-44DD-A924-D1A972B53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26A795-7D10-4222-B1B4-CC666892177A}">
  <ds:schemaRefs>
    <ds:schemaRef ds:uri="http://schemas.microsoft.com/sharepoint/v3/contenttype/forms"/>
  </ds:schemaRefs>
</ds:datastoreItem>
</file>

<file path=customXml/itemProps3.xml><?xml version="1.0" encoding="utf-8"?>
<ds:datastoreItem xmlns:ds="http://schemas.openxmlformats.org/officeDocument/2006/customXml" ds:itemID="{1AE376F4-090C-4F19-B97A-53ED1F2D6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8</Pages>
  <Words>3328</Words>
  <Characters>18975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Centene User</dc:creator>
  <cp:keywords/>
  <dc:description/>
  <cp:lastModifiedBy>Lindsey E. Ramos</cp:lastModifiedBy>
  <cp:revision>5</cp:revision>
  <cp:lastPrinted>2023-09-01T12:09:00Z</cp:lastPrinted>
  <dcterms:created xsi:type="dcterms:W3CDTF">2024-10-29T14:34:00Z</dcterms:created>
  <dcterms:modified xsi:type="dcterms:W3CDTF">2024-10-31T18:12:00Z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76955-85f6-4fec-9553-96dd3e0373c4_Enabled">
    <vt:lpwstr>true</vt:lpwstr>
  </property>
  <property fmtid="{D5CDD505-2E9C-101B-9397-08002B2CF9AE}" pid="3" name="MSIP_Label_5a776955-85f6-4fec-9553-96dd3e0373c4_SetDate">
    <vt:lpwstr>2022-08-31T15:02:48Z</vt:lpwstr>
  </property>
  <property fmtid="{D5CDD505-2E9C-101B-9397-08002B2CF9AE}" pid="4" name="MSIP_Label_5a776955-85f6-4fec-9553-96dd3e0373c4_Method">
    <vt:lpwstr>Standard</vt:lpwstr>
  </property>
  <property fmtid="{D5CDD505-2E9C-101B-9397-08002B2CF9AE}" pid="5" name="MSIP_Label_5a776955-85f6-4fec-9553-96dd3e0373c4_Name">
    <vt:lpwstr>Confidential</vt:lpwstr>
  </property>
  <property fmtid="{D5CDD505-2E9C-101B-9397-08002B2CF9AE}" pid="6" name="MSIP_Label_5a776955-85f6-4fec-9553-96dd3e0373c4_SiteId">
    <vt:lpwstr>f45ccc07-e57e-4d15-bf6f-f6cbccd2d395</vt:lpwstr>
  </property>
  <property fmtid="{D5CDD505-2E9C-101B-9397-08002B2CF9AE}" pid="7" name="MSIP_Label_5a776955-85f6-4fec-9553-96dd3e0373c4_ActionId">
    <vt:lpwstr>108c91ea-75d6-4dab-bd3e-d3f136f4e421</vt:lpwstr>
  </property>
  <property fmtid="{D5CDD505-2E9C-101B-9397-08002B2CF9AE}" pid="8" name="MSIP_Label_5a776955-85f6-4fec-9553-96dd3e0373c4_ContentBits">
    <vt:lpwstr>0</vt:lpwstr>
  </property>
</Properties>
</file>